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8A39B" w14:textId="77777777" w:rsidR="002B2791" w:rsidRPr="003123A1" w:rsidRDefault="002B2791" w:rsidP="002B2791">
      <w:pPr>
        <w:rPr>
          <w:lang w:val="fr-FR"/>
        </w:rPr>
      </w:pPr>
    </w:p>
    <w:p w14:paraId="69192DD9" w14:textId="12457C11" w:rsidR="002B2791" w:rsidRPr="003123A1" w:rsidRDefault="00010E6E" w:rsidP="002B2791">
      <w:pPr>
        <w:rPr>
          <w:lang w:val="fr-FR"/>
        </w:rPr>
      </w:pPr>
      <w:r w:rsidRPr="00010E6E">
        <w:rPr>
          <w:lang w:val="fr-FR"/>
        </w:rPr>
        <w:t>26 février 2021</w:t>
      </w:r>
    </w:p>
    <w:p w14:paraId="0600D50C" w14:textId="77777777" w:rsidR="002B2791" w:rsidRPr="003123A1" w:rsidRDefault="002B2791" w:rsidP="002B2791">
      <w:pPr>
        <w:rPr>
          <w:lang w:val="fr-FR"/>
        </w:rPr>
      </w:pPr>
    </w:p>
    <w:p w14:paraId="68F9E075" w14:textId="495BA2AD" w:rsidR="005E65EB" w:rsidRPr="003123A1" w:rsidRDefault="006871E1" w:rsidP="002B2791">
      <w:pPr>
        <w:spacing w:after="160" w:line="319" w:lineRule="auto"/>
        <w:rPr>
          <w:b/>
          <w:sz w:val="32"/>
          <w:szCs w:val="32"/>
          <w:lang w:val="fr-FR"/>
        </w:rPr>
      </w:pPr>
      <w:r w:rsidRPr="006871E1">
        <w:rPr>
          <w:b/>
          <w:bCs/>
          <w:sz w:val="32"/>
          <w:szCs w:val="32"/>
          <w:lang w:val="fr-FR"/>
        </w:rPr>
        <w:t>EMD adopte un code de bonne conduite dans le domaine des approvisionnements en Marques Propres</w:t>
      </w:r>
    </w:p>
    <w:p w14:paraId="5524E40F" w14:textId="7E2CD087" w:rsidR="00A41FA0" w:rsidRPr="003123A1" w:rsidRDefault="006871E1" w:rsidP="002B2791">
      <w:pPr>
        <w:pStyle w:val="ListParagraph"/>
        <w:numPr>
          <w:ilvl w:val="0"/>
          <w:numId w:val="9"/>
        </w:numPr>
        <w:spacing w:after="160" w:line="319" w:lineRule="auto"/>
        <w:rPr>
          <w:b/>
          <w:sz w:val="22"/>
          <w:szCs w:val="22"/>
          <w:lang w:val="fr-FR"/>
        </w:rPr>
      </w:pPr>
      <w:r w:rsidRPr="006871E1">
        <w:rPr>
          <w:rFonts w:cs="Courier New"/>
          <w:b/>
          <w:bCs/>
          <w:color w:val="202124"/>
          <w:sz w:val="22"/>
          <w:lang w:val="fr-FR" w:eastAsia="de-CH"/>
        </w:rPr>
        <w:t>Une étape majeure pour cette alliance internationale de distributeurs engagée dans l’éco-responsabilité et l'approvisionnement durable</w:t>
      </w:r>
    </w:p>
    <w:p w14:paraId="1E901B63" w14:textId="3BC299E6" w:rsidR="00A30359" w:rsidRPr="003123A1" w:rsidRDefault="006871E1" w:rsidP="00806DD7">
      <w:pPr>
        <w:pStyle w:val="ListParagraph"/>
        <w:numPr>
          <w:ilvl w:val="0"/>
          <w:numId w:val="9"/>
        </w:numPr>
        <w:spacing w:after="160" w:line="319" w:lineRule="auto"/>
        <w:rPr>
          <w:b/>
          <w:sz w:val="22"/>
          <w:szCs w:val="22"/>
          <w:lang w:val="fr-FR"/>
        </w:rPr>
      </w:pPr>
      <w:r w:rsidRPr="006871E1">
        <w:rPr>
          <w:rFonts w:cs="Courier New"/>
          <w:b/>
          <w:bCs/>
          <w:color w:val="202124"/>
          <w:sz w:val="22"/>
          <w:lang w:val="fr-FR" w:eastAsia="de-CH"/>
        </w:rPr>
        <w:t>EMD veut inciter les fournisseurs de marques propres à répondre à des critères stricts et éco-responsables</w:t>
      </w:r>
    </w:p>
    <w:p w14:paraId="629A3EC4" w14:textId="02708661" w:rsidR="002B2791" w:rsidRPr="003123A1" w:rsidRDefault="006871E1" w:rsidP="00806DD7">
      <w:pPr>
        <w:pStyle w:val="ListParagraph"/>
        <w:numPr>
          <w:ilvl w:val="0"/>
          <w:numId w:val="9"/>
        </w:numPr>
        <w:spacing w:after="160" w:line="319" w:lineRule="auto"/>
        <w:rPr>
          <w:b/>
          <w:sz w:val="22"/>
          <w:szCs w:val="22"/>
          <w:lang w:val="fr-FR"/>
        </w:rPr>
      </w:pPr>
      <w:r w:rsidRPr="006871E1">
        <w:rPr>
          <w:rFonts w:cs="Courier New"/>
          <w:b/>
          <w:bCs/>
          <w:color w:val="202124"/>
          <w:sz w:val="22"/>
          <w:lang w:val="fr-FR" w:eastAsia="de-CH"/>
        </w:rPr>
        <w:t>EMD veut aussi promouvoir de nouvelles initiatives en matière de développement durable avec les grands fournisseurs internationaux de marques</w:t>
      </w:r>
    </w:p>
    <w:p w14:paraId="3B4C5B8E" w14:textId="7C27A372" w:rsidR="006871E1" w:rsidRPr="006871E1" w:rsidRDefault="005A47FB" w:rsidP="006871E1">
      <w:pPr>
        <w:spacing w:after="120" w:line="319" w:lineRule="auto"/>
        <w:rPr>
          <w:noProof/>
          <w:snapToGrid/>
          <w:sz w:val="22"/>
          <w:szCs w:val="22"/>
          <w:lang w:val="fr-FR"/>
        </w:rPr>
      </w:pPr>
      <w:r w:rsidRPr="003123A1">
        <w:rPr>
          <w:noProof/>
          <w:snapToGrid/>
          <w:sz w:val="22"/>
          <w:szCs w:val="22"/>
          <w:lang w:val="fr-FR"/>
        </w:rPr>
        <mc:AlternateContent>
          <mc:Choice Requires="wps">
            <w:drawing>
              <wp:anchor distT="0" distB="0" distL="114300" distR="114300" simplePos="0" relativeHeight="251659264" behindDoc="1" locked="0" layoutInCell="1" allowOverlap="1" wp14:anchorId="2C1C8660" wp14:editId="58E4D2FE">
                <wp:simplePos x="0" y="0"/>
                <wp:positionH relativeFrom="column">
                  <wp:posOffset>3783965</wp:posOffset>
                </wp:positionH>
                <wp:positionV relativeFrom="paragraph">
                  <wp:posOffset>713105</wp:posOffset>
                </wp:positionV>
                <wp:extent cx="2286000" cy="4182110"/>
                <wp:effectExtent l="0" t="0" r="12700" b="8890"/>
                <wp:wrapTight wrapText="bothSides">
                  <wp:wrapPolygon edited="0">
                    <wp:start x="0" y="0"/>
                    <wp:lineTo x="0" y="21580"/>
                    <wp:lineTo x="21600" y="21580"/>
                    <wp:lineTo x="21600" y="0"/>
                    <wp:lineTo x="0" y="0"/>
                  </wp:wrapPolygon>
                </wp:wrapTight>
                <wp:docPr id="3" name="Textfeld 3"/>
                <wp:cNvGraphicFramePr/>
                <a:graphic xmlns:a="http://schemas.openxmlformats.org/drawingml/2006/main">
                  <a:graphicData uri="http://schemas.microsoft.com/office/word/2010/wordprocessingShape">
                    <wps:wsp>
                      <wps:cNvSpPr txBox="1"/>
                      <wps:spPr>
                        <a:xfrm>
                          <a:off x="0" y="0"/>
                          <a:ext cx="2286000" cy="4182110"/>
                        </a:xfrm>
                        <a:prstGeom prst="rect">
                          <a:avLst/>
                        </a:prstGeom>
                        <a:solidFill>
                          <a:schemeClr val="lt1"/>
                        </a:solidFill>
                        <a:ln w="6350">
                          <a:solidFill>
                            <a:prstClr val="black"/>
                          </a:solidFill>
                        </a:ln>
                      </wps:spPr>
                      <wps:txbx>
                        <w:txbxContent>
                          <w:p w14:paraId="204DDB70" w14:textId="56FE8299" w:rsidR="00C957E6" w:rsidRDefault="001009DF" w:rsidP="00C957E6">
                            <w:pPr>
                              <w:spacing w:line="240" w:lineRule="auto"/>
                              <w:jc w:val="left"/>
                              <w:rPr>
                                <w:rFonts w:cs="Calibri"/>
                                <w:snapToGrid/>
                                <w:color w:val="000000"/>
                                <w:sz w:val="20"/>
                                <w:szCs w:val="20"/>
                              </w:rPr>
                            </w:pPr>
                            <w:r>
                              <w:rPr>
                                <w:rFonts w:cs="Calibri"/>
                                <w:noProof/>
                                <w:snapToGrid/>
                                <w:color w:val="000000"/>
                                <w:sz w:val="20"/>
                                <w:szCs w:val="20"/>
                              </w:rPr>
                              <w:drawing>
                                <wp:inline distT="0" distB="0" distL="0" distR="0" wp14:anchorId="7CE508D6" wp14:editId="1C409915">
                                  <wp:extent cx="2096770" cy="2843530"/>
                                  <wp:effectExtent l="0" t="0" r="0" b="1270"/>
                                  <wp:docPr id="2" name="Grafik 2" descr="Ein Bild, das Person,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Person, Mann enthält.&#10;&#10;Automatisch generierte Beschreibung"/>
                                          <pic:cNvPicPr/>
                                        </pic:nvPicPr>
                                        <pic:blipFill>
                                          <a:blip r:embed="rId8">
                                            <a:extLst>
                                              <a:ext uri="{28A0092B-C50C-407E-A947-70E740481C1C}">
                                                <a14:useLocalDpi xmlns:a14="http://schemas.microsoft.com/office/drawing/2010/main" val="0"/>
                                              </a:ext>
                                            </a:extLst>
                                          </a:blip>
                                          <a:stretch>
                                            <a:fillRect/>
                                          </a:stretch>
                                        </pic:blipFill>
                                        <pic:spPr>
                                          <a:xfrm>
                                            <a:off x="0" y="0"/>
                                            <a:ext cx="2096770" cy="2843530"/>
                                          </a:xfrm>
                                          <a:prstGeom prst="rect">
                                            <a:avLst/>
                                          </a:prstGeom>
                                        </pic:spPr>
                                      </pic:pic>
                                    </a:graphicData>
                                  </a:graphic>
                                </wp:inline>
                              </w:drawing>
                            </w:r>
                          </w:p>
                          <w:p w14:paraId="6DAEAACC" w14:textId="45057DC3" w:rsidR="003048D7" w:rsidRPr="003048D7" w:rsidRDefault="005A47FB" w:rsidP="003048D7">
                            <w:pPr>
                              <w:spacing w:line="240" w:lineRule="auto"/>
                              <w:jc w:val="left"/>
                              <w:rPr>
                                <w:rFonts w:ascii="Times New Roman" w:hAnsi="Times New Roman" w:cs="Times New Roman"/>
                                <w:snapToGrid/>
                                <w:sz w:val="24"/>
                                <w:szCs w:val="24"/>
                              </w:rPr>
                            </w:pPr>
                            <w:r w:rsidRPr="005A47FB">
                              <w:rPr>
                                <w:rFonts w:cs="Calibri"/>
                                <w:snapToGrid/>
                                <w:color w:val="000000"/>
                                <w:sz w:val="20"/>
                                <w:szCs w:val="20"/>
                                <w:lang w:val="fr-FR"/>
                              </w:rPr>
                              <w:t xml:space="preserve">Seuls les fournisseurs qui respectent les directives contraignantes de l'EMD en matière de responsabilité et de durabilité peuvent se qualifier pour les appels d'offres internationaux de l'EMD. </w:t>
                            </w:r>
                            <w:r w:rsidR="003048D7" w:rsidRPr="005A47FB">
                              <w:rPr>
                                <w:rFonts w:cs="Calibri"/>
                                <w:snapToGrid/>
                                <w:color w:val="000000"/>
                                <w:sz w:val="20"/>
                                <w:szCs w:val="20"/>
                                <w:lang w:val="fr-FR"/>
                              </w:rPr>
                              <w:t>Photo :</w:t>
                            </w:r>
                            <w:r w:rsidRPr="005A47FB">
                              <w:rPr>
                                <w:rFonts w:cs="Calibri"/>
                                <w:snapToGrid/>
                                <w:color w:val="000000"/>
                                <w:sz w:val="20"/>
                                <w:szCs w:val="20"/>
                                <w:lang w:val="fr-FR"/>
                              </w:rPr>
                              <w:t xml:space="preserve"> </w:t>
                            </w:r>
                            <w:r w:rsidR="00270D37">
                              <w:rPr>
                                <w:rFonts w:cs="Calibri"/>
                                <w:snapToGrid/>
                                <w:color w:val="000000"/>
                                <w:sz w:val="20"/>
                                <w:szCs w:val="20"/>
                                <w:lang w:val="fr-FR"/>
                              </w:rPr>
                              <w:t>stock.adobe.com/EMD</w:t>
                            </w:r>
                          </w:p>
                          <w:p w14:paraId="65E812BB" w14:textId="60DB4C38" w:rsidR="00C957E6" w:rsidRPr="003123A1" w:rsidRDefault="00C957E6" w:rsidP="005A47FB">
                            <w:pPr>
                              <w:spacing w:line="240" w:lineRule="auto"/>
                              <w:rPr>
                                <w:rFonts w:cs="Calibri"/>
                                <w:snapToGrid/>
                                <w:color w:val="000000"/>
                                <w:sz w:val="20"/>
                                <w:szCs w:val="20"/>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1C8660" id="_x0000_t202" coordsize="21600,21600" o:spt="202" path="m,l,21600r21600,l21600,xe">
                <v:stroke joinstyle="miter"/>
                <v:path gradientshapeok="t" o:connecttype="rect"/>
              </v:shapetype>
              <v:shape id="Textfeld 3" o:spid="_x0000_s1026" type="#_x0000_t202" style="position:absolute;left:0;text-align:left;margin-left:297.95pt;margin-top:56.15pt;width:180pt;height:32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" fillcolor="white [3201]" strokeweight=".5pt">
                <v:textbox>
                  <w:txbxContent>
                    <w:p w14:paraId="204DDB70" w14:textId="56FE8299" w:rsidR="00C957E6" w:rsidRDefault="001009DF" w:rsidP="00C957E6">
                      <w:pPr>
                        <w:spacing w:line="240" w:lineRule="auto"/>
                        <w:jc w:val="left"/>
                        <w:rPr>
                          <w:rFonts w:cs="Calibri"/>
                          <w:snapToGrid/>
                          <w:color w:val="000000"/>
                          <w:sz w:val="20"/>
                          <w:szCs w:val="20"/>
                        </w:rPr>
                      </w:pPr>
                      <w:r>
                        <w:rPr>
                          <w:rFonts w:cs="Calibri"/>
                          <w:noProof/>
                          <w:snapToGrid/>
                          <w:color w:val="000000"/>
                          <w:sz w:val="20"/>
                          <w:szCs w:val="20"/>
                        </w:rPr>
                        <w:drawing>
                          <wp:inline distT="0" distB="0" distL="0" distR="0" wp14:anchorId="7CE508D6" wp14:editId="1C409915">
                            <wp:extent cx="2096770" cy="2843530"/>
                            <wp:effectExtent l="0" t="0" r="0" b="1270"/>
                            <wp:docPr id="2" name="Grafik 2" descr="Ein Bild, das Person,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Person, Mann enthält.&#10;&#10;Automatisch generierte Beschreibung"/>
                                    <pic:cNvPicPr/>
                                  </pic:nvPicPr>
                                  <pic:blipFill>
                                    <a:blip r:embed="rId8">
                                      <a:extLst>
                                        <a:ext uri="{28A0092B-C50C-407E-A947-70E740481C1C}">
                                          <a14:useLocalDpi xmlns:a14="http://schemas.microsoft.com/office/drawing/2010/main" val="0"/>
                                        </a:ext>
                                      </a:extLst>
                                    </a:blip>
                                    <a:stretch>
                                      <a:fillRect/>
                                    </a:stretch>
                                  </pic:blipFill>
                                  <pic:spPr>
                                    <a:xfrm>
                                      <a:off x="0" y="0"/>
                                      <a:ext cx="2096770" cy="2843530"/>
                                    </a:xfrm>
                                    <a:prstGeom prst="rect">
                                      <a:avLst/>
                                    </a:prstGeom>
                                  </pic:spPr>
                                </pic:pic>
                              </a:graphicData>
                            </a:graphic>
                          </wp:inline>
                        </w:drawing>
                      </w:r>
                    </w:p>
                    <w:p w14:paraId="6DAEAACC" w14:textId="45057DC3" w:rsidR="003048D7" w:rsidRPr="003048D7" w:rsidRDefault="005A47FB" w:rsidP="003048D7">
                      <w:pPr>
                        <w:spacing w:line="240" w:lineRule="auto"/>
                        <w:jc w:val="left"/>
                        <w:rPr>
                          <w:rFonts w:ascii="Times New Roman" w:hAnsi="Times New Roman" w:cs="Times New Roman"/>
                          <w:snapToGrid/>
                          <w:sz w:val="24"/>
                          <w:szCs w:val="24"/>
                        </w:rPr>
                      </w:pPr>
                      <w:r w:rsidRPr="005A47FB">
                        <w:rPr>
                          <w:rFonts w:cs="Calibri"/>
                          <w:snapToGrid/>
                          <w:color w:val="000000"/>
                          <w:sz w:val="20"/>
                          <w:szCs w:val="20"/>
                          <w:lang w:val="fr-FR"/>
                        </w:rPr>
                        <w:t xml:space="preserve">Seuls les fournisseurs qui respectent les directives contraignantes de l'EMD en matière de responsabilité et de durabilité peuvent se qualifier pour les appels d'offres internationaux de l'EMD. </w:t>
                      </w:r>
                      <w:r w:rsidR="003048D7" w:rsidRPr="005A47FB">
                        <w:rPr>
                          <w:rFonts w:cs="Calibri"/>
                          <w:snapToGrid/>
                          <w:color w:val="000000"/>
                          <w:sz w:val="20"/>
                          <w:szCs w:val="20"/>
                          <w:lang w:val="fr-FR"/>
                        </w:rPr>
                        <w:t>Photo :</w:t>
                      </w:r>
                      <w:r w:rsidRPr="005A47FB">
                        <w:rPr>
                          <w:rFonts w:cs="Calibri"/>
                          <w:snapToGrid/>
                          <w:color w:val="000000"/>
                          <w:sz w:val="20"/>
                          <w:szCs w:val="20"/>
                          <w:lang w:val="fr-FR"/>
                        </w:rPr>
                        <w:t xml:space="preserve"> </w:t>
                      </w:r>
                      <w:r w:rsidR="00270D37">
                        <w:rPr>
                          <w:rFonts w:cs="Calibri"/>
                          <w:snapToGrid/>
                          <w:color w:val="000000"/>
                          <w:sz w:val="20"/>
                          <w:szCs w:val="20"/>
                          <w:lang w:val="fr-FR"/>
                        </w:rPr>
                        <w:t>stock.adobe.com/EMD</w:t>
                      </w:r>
                    </w:p>
                    <w:p w14:paraId="65E812BB" w14:textId="60DB4C38" w:rsidR="00C957E6" w:rsidRPr="003123A1" w:rsidRDefault="00C957E6" w:rsidP="005A47FB">
                      <w:pPr>
                        <w:spacing w:line="240" w:lineRule="auto"/>
                        <w:rPr>
                          <w:rFonts w:cs="Calibri"/>
                          <w:snapToGrid/>
                          <w:color w:val="000000"/>
                          <w:sz w:val="20"/>
                          <w:szCs w:val="20"/>
                          <w:lang w:val="fr-FR"/>
                        </w:rPr>
                      </w:pPr>
                    </w:p>
                  </w:txbxContent>
                </v:textbox>
                <w10:wrap type="tight"/>
              </v:shape>
            </w:pict>
          </mc:Fallback>
        </mc:AlternateContent>
      </w:r>
      <w:r w:rsidR="006871E1" w:rsidRPr="006871E1">
        <w:rPr>
          <w:b/>
          <w:bCs/>
          <w:sz w:val="22"/>
          <w:szCs w:val="22"/>
          <w:lang w:val="fr-FR"/>
        </w:rPr>
        <w:t>Pfäffikon / Suisse</w:t>
      </w:r>
      <w:r w:rsidR="006871E1">
        <w:rPr>
          <w:b/>
          <w:bCs/>
          <w:sz w:val="22"/>
          <w:szCs w:val="22"/>
          <w:lang w:val="fr-FR"/>
        </w:rPr>
        <w:t>.</w:t>
      </w:r>
      <w:r w:rsidR="006871E1" w:rsidRPr="006871E1">
        <w:rPr>
          <w:lang w:val="fr-FR"/>
        </w:rPr>
        <w:t xml:space="preserve"> </w:t>
      </w:r>
      <w:r w:rsidR="00EC1593" w:rsidRPr="003123A1">
        <w:rPr>
          <w:lang w:val="fr-FR"/>
        </w:rPr>
        <w:t xml:space="preserve"> </w:t>
      </w:r>
      <w:r w:rsidR="006871E1" w:rsidRPr="006871E1">
        <w:rPr>
          <w:noProof/>
          <w:snapToGrid/>
          <w:sz w:val="22"/>
          <w:szCs w:val="22"/>
          <w:lang w:val="fr-FR"/>
        </w:rPr>
        <w:t>Responsabilité des personnes, des conditions de travail et de l'environnement - en tant que première alliance d'achat en Europe EMD s'y est toujours engagée. Désormais, le principal enjeu de la durabilité sociale est défini encore plus concrètement par European Marketing Distribution: Dans les faits, les fournisseurs de marques propres seront maintenant soumis à un code de bonne conduite qui définit 12 critères de durabilité pour la coopération avec EMD. Le contenu de ces directives d'achat est basé sur la Sustainable Supply Chain Initiative (dont EMD est un membre actif) du Consumer Goods Forum (CGF). Les fournisseurs de marques propre qui ne se conforment pas encore aux nouvelles directives d'achat d'EMD seront accompagnés par l'alliance internationale du commerce de détail et recevront un soutien pour atteindre cet objectif.</w:t>
      </w:r>
    </w:p>
    <w:p w14:paraId="7B612987" w14:textId="3E074EAE" w:rsidR="006871E1" w:rsidRPr="006871E1" w:rsidRDefault="006871E1" w:rsidP="006871E1">
      <w:pPr>
        <w:spacing w:after="120" w:line="319" w:lineRule="auto"/>
        <w:rPr>
          <w:noProof/>
          <w:snapToGrid/>
          <w:sz w:val="22"/>
          <w:szCs w:val="22"/>
          <w:lang w:val="fr-FR"/>
        </w:rPr>
      </w:pPr>
      <w:r w:rsidRPr="006871E1">
        <w:rPr>
          <w:noProof/>
          <w:snapToGrid/>
          <w:sz w:val="22"/>
          <w:szCs w:val="22"/>
          <w:lang w:val="fr-FR"/>
        </w:rPr>
        <w:t>Avec l'adoption d'un catalogue de critères en matière de développement durable pour les achats de marque propre, qui est efficace dans tous les projets d'approvisionnement conjoints, EMD établit un point de repère en tant qu'alliance internationale de vente au détail. Le nouveau code de bonne conduite sous-</w:t>
      </w:r>
      <w:r w:rsidRPr="006871E1">
        <w:rPr>
          <w:noProof/>
          <w:snapToGrid/>
          <w:sz w:val="22"/>
          <w:szCs w:val="22"/>
          <w:lang w:val="fr-FR"/>
        </w:rPr>
        <w:lastRenderedPageBreak/>
        <w:t>t</w:t>
      </w:r>
      <w:r w:rsidR="00AD0612">
        <w:rPr>
          <w:noProof/>
          <w:snapToGrid/>
          <w:sz w:val="22"/>
          <w:szCs w:val="22"/>
          <w:lang w:val="fr-FR"/>
        </w:rPr>
        <w:t>i</w:t>
      </w:r>
      <w:r w:rsidRPr="006871E1">
        <w:rPr>
          <w:noProof/>
          <w:snapToGrid/>
          <w:sz w:val="22"/>
          <w:szCs w:val="22"/>
          <w:lang w:val="fr-FR"/>
        </w:rPr>
        <w:t>en</w:t>
      </w:r>
      <w:bookmarkStart w:id="0" w:name="_GoBack"/>
      <w:bookmarkEnd w:id="0"/>
      <w:r w:rsidRPr="006871E1">
        <w:rPr>
          <w:noProof/>
          <w:snapToGrid/>
          <w:sz w:val="22"/>
          <w:szCs w:val="22"/>
          <w:lang w:val="fr-FR"/>
        </w:rPr>
        <w:t xml:space="preserve"> l'objectif d'EMD et de ses sociétés membres de fournir des produits durables de grande qualité aux consommateurs dans les différents pays. Ainsi, le strict respect de normes sociales et un engagement envers des normes de sécurité alimentaire reconnues sont déclarés comme indispensables dans les nouvelles directives d'achat.</w:t>
      </w:r>
    </w:p>
    <w:p w14:paraId="16E8FDAB" w14:textId="77777777" w:rsidR="006871E1" w:rsidRPr="006871E1" w:rsidRDefault="006871E1" w:rsidP="006871E1">
      <w:pPr>
        <w:spacing w:after="120" w:line="319" w:lineRule="auto"/>
        <w:rPr>
          <w:noProof/>
          <w:snapToGrid/>
          <w:sz w:val="22"/>
          <w:szCs w:val="22"/>
          <w:lang w:val="fr-FR"/>
        </w:rPr>
      </w:pPr>
      <w:r w:rsidRPr="006871E1">
        <w:rPr>
          <w:noProof/>
          <w:snapToGrid/>
          <w:sz w:val="22"/>
          <w:szCs w:val="22"/>
          <w:lang w:val="fr-FR"/>
        </w:rPr>
        <w:t>Pour garantir la sécurité alimentaire conformément à la Global Food Safety Initiative, tous les fournisseurs concernés seront étroitement surveillés. En ce qui concerne les pays dits à risque (classification Amfori BSCI par pays à risque) et les catégories de produits à risque, EMD évalue les preuves de conformité sociale telles que les rapports d'audit et les certificats.</w:t>
      </w:r>
    </w:p>
    <w:p w14:paraId="035842D2" w14:textId="77777777" w:rsidR="006871E1" w:rsidRPr="006871E1" w:rsidRDefault="006871E1" w:rsidP="006871E1">
      <w:pPr>
        <w:spacing w:after="120" w:line="319" w:lineRule="auto"/>
        <w:rPr>
          <w:noProof/>
          <w:snapToGrid/>
          <w:sz w:val="22"/>
          <w:szCs w:val="22"/>
          <w:lang w:val="fr-FR"/>
        </w:rPr>
      </w:pPr>
      <w:r w:rsidRPr="006871E1">
        <w:rPr>
          <w:noProof/>
          <w:snapToGrid/>
          <w:sz w:val="22"/>
          <w:szCs w:val="22"/>
          <w:lang w:val="fr-FR"/>
        </w:rPr>
        <w:t>Chaque membre d'EMD continuera de pouvoir s'appuyer sur ses propres normes lors de l'approvisionnement en marchandises. Cependant, pour la coopération avec l'industrie en marque propre, EMD n'acceptera pas moins que les lignes directrices énoncées dans le code bonne conduite.</w:t>
      </w:r>
    </w:p>
    <w:p w14:paraId="6C082084" w14:textId="77777777" w:rsidR="006871E1" w:rsidRPr="006871E1" w:rsidRDefault="006871E1" w:rsidP="006871E1">
      <w:pPr>
        <w:spacing w:after="120" w:line="319" w:lineRule="auto"/>
        <w:rPr>
          <w:noProof/>
          <w:snapToGrid/>
          <w:sz w:val="22"/>
          <w:szCs w:val="22"/>
          <w:lang w:val="fr-FR"/>
        </w:rPr>
      </w:pPr>
      <w:r w:rsidRPr="006871E1">
        <w:rPr>
          <w:noProof/>
          <w:snapToGrid/>
          <w:sz w:val="22"/>
          <w:szCs w:val="22"/>
          <w:lang w:val="fr-FR"/>
        </w:rPr>
        <w:t>Également, dans le cadre des négociations internationales avec les multinationales, les fournisseurs de marques pourront aussi coopérer au niveau international avec EMD sur leurs initiatives de développement durable. EMD accueille favorablement toute proposition conforme aux lignes directrices et aux possibilités des différents membres d'EMD.</w:t>
      </w:r>
    </w:p>
    <w:p w14:paraId="0616F36C" w14:textId="77777777" w:rsidR="006871E1" w:rsidRPr="006871E1" w:rsidRDefault="006871E1" w:rsidP="006871E1">
      <w:pPr>
        <w:spacing w:after="120" w:line="319" w:lineRule="auto"/>
        <w:rPr>
          <w:b/>
          <w:bCs/>
          <w:noProof/>
          <w:snapToGrid/>
          <w:sz w:val="22"/>
          <w:szCs w:val="22"/>
          <w:lang w:val="fr-FR"/>
        </w:rPr>
      </w:pPr>
      <w:r w:rsidRPr="006871E1">
        <w:rPr>
          <w:b/>
          <w:bCs/>
          <w:noProof/>
          <w:snapToGrid/>
          <w:sz w:val="22"/>
          <w:szCs w:val="22"/>
          <w:lang w:val="fr-FR"/>
        </w:rPr>
        <w:t>À propos d'EMD</w:t>
      </w:r>
    </w:p>
    <w:p w14:paraId="7626B0C5" w14:textId="39852A3C" w:rsidR="00EC1593" w:rsidRPr="003123A1" w:rsidRDefault="006871E1" w:rsidP="006871E1">
      <w:pPr>
        <w:spacing w:after="120" w:line="319" w:lineRule="auto"/>
        <w:rPr>
          <w:sz w:val="22"/>
          <w:szCs w:val="22"/>
          <w:lang w:val="fr-FR"/>
        </w:rPr>
      </w:pPr>
      <w:r w:rsidRPr="006871E1">
        <w:rPr>
          <w:noProof/>
          <w:snapToGrid/>
          <w:sz w:val="22"/>
          <w:szCs w:val="22"/>
          <w:lang w:val="fr-FR"/>
        </w:rPr>
        <w:t>European Marketing Distribution AG, dont le siège est à Pfäffikon, en Suisse, est reconnue depuis 1989 comme un partenaire privilégié et performant pour les biens de consommation (FMCG) par l'industrie des biens de consommation. Le premier groupe associé opère désormais avec ses membres dans 20 pays d'Europe, d'Océanie et d'Asie.</w:t>
      </w:r>
    </w:p>
    <w:p w14:paraId="430CFA59" w14:textId="6D10C7F3" w:rsidR="00C67AB7" w:rsidRPr="003123A1" w:rsidRDefault="00EC1593" w:rsidP="00C67AB7">
      <w:pPr>
        <w:rPr>
          <w:rFonts w:eastAsia="Verdana"/>
          <w:color w:val="0D0D0D"/>
          <w:sz w:val="22"/>
          <w:szCs w:val="22"/>
          <w:lang w:val="fr-FR"/>
        </w:rPr>
      </w:pPr>
      <w:r w:rsidRPr="003123A1">
        <w:rPr>
          <w:b/>
          <w:bCs/>
          <w:sz w:val="22"/>
          <w:szCs w:val="22"/>
          <w:lang w:val="fr-FR"/>
        </w:rPr>
        <w:t>Les sociétés membres d'</w:t>
      </w:r>
      <w:proofErr w:type="spellStart"/>
      <w:r w:rsidRPr="003123A1">
        <w:rPr>
          <w:b/>
          <w:bCs/>
          <w:sz w:val="22"/>
          <w:szCs w:val="22"/>
          <w:lang w:val="fr-FR"/>
        </w:rPr>
        <w:t>European</w:t>
      </w:r>
      <w:proofErr w:type="spellEnd"/>
      <w:r w:rsidRPr="003123A1">
        <w:rPr>
          <w:b/>
          <w:bCs/>
          <w:sz w:val="22"/>
          <w:szCs w:val="22"/>
          <w:lang w:val="fr-FR"/>
        </w:rPr>
        <w:t xml:space="preserve"> Marketing Distribution (EMD) sont actives sur les marchés </w:t>
      </w:r>
      <w:r w:rsidR="005A2410" w:rsidRPr="003123A1">
        <w:rPr>
          <w:b/>
          <w:bCs/>
          <w:sz w:val="22"/>
          <w:szCs w:val="22"/>
          <w:lang w:val="fr-FR"/>
        </w:rPr>
        <w:t>suivants :</w:t>
      </w:r>
      <w:r w:rsidR="00C67AB7" w:rsidRPr="003123A1">
        <w:rPr>
          <w:rFonts w:eastAsia="Verdana"/>
          <w:color w:val="0D0D0D"/>
          <w:sz w:val="22"/>
          <w:szCs w:val="22"/>
          <w:lang w:val="fr-FR"/>
        </w:rPr>
        <w:t xml:space="preserve"> </w:t>
      </w:r>
    </w:p>
    <w:p w14:paraId="4D484930" w14:textId="63ECFF3F" w:rsidR="002B2791" w:rsidRPr="003123A1" w:rsidRDefault="002B2791" w:rsidP="00A30359">
      <w:pPr>
        <w:spacing w:after="120" w:line="319" w:lineRule="auto"/>
        <w:rPr>
          <w:b/>
          <w:bCs/>
          <w:sz w:val="22"/>
          <w:szCs w:val="22"/>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3123A1" w:rsidRPr="003123A1" w14:paraId="3F7BEC15" w14:textId="77777777" w:rsidTr="00A30359">
        <w:tc>
          <w:tcPr>
            <w:tcW w:w="4814" w:type="dxa"/>
          </w:tcPr>
          <w:p w14:paraId="09ECCBAC" w14:textId="7C86D2D3" w:rsidR="003123A1" w:rsidRPr="003123A1" w:rsidRDefault="003123A1" w:rsidP="003123A1">
            <w:pPr>
              <w:rPr>
                <w:b/>
                <w:sz w:val="20"/>
                <w:szCs w:val="20"/>
                <w:lang w:val="fr-FR"/>
              </w:rPr>
            </w:pPr>
            <w:r w:rsidRPr="003123A1">
              <w:rPr>
                <w:sz w:val="20"/>
                <w:szCs w:val="20"/>
                <w:lang w:val="fr-FR"/>
              </w:rPr>
              <w:t xml:space="preserve">Allemagne : MARKANT </w:t>
            </w:r>
          </w:p>
        </w:tc>
        <w:tc>
          <w:tcPr>
            <w:tcW w:w="4815" w:type="dxa"/>
          </w:tcPr>
          <w:p w14:paraId="5C4E3609" w14:textId="58FE3737" w:rsidR="003123A1" w:rsidRPr="003123A1" w:rsidRDefault="003123A1" w:rsidP="003123A1">
            <w:pPr>
              <w:rPr>
                <w:b/>
                <w:sz w:val="20"/>
                <w:szCs w:val="20"/>
                <w:lang w:val="fr-FR"/>
              </w:rPr>
            </w:pPr>
            <w:r w:rsidRPr="003123A1">
              <w:rPr>
                <w:sz w:val="20"/>
                <w:szCs w:val="20"/>
                <w:lang w:val="fr-FR"/>
              </w:rPr>
              <w:t>Nouvelle-</w:t>
            </w:r>
            <w:r w:rsidR="005A2410" w:rsidRPr="003123A1">
              <w:rPr>
                <w:sz w:val="20"/>
                <w:szCs w:val="20"/>
                <w:lang w:val="fr-FR"/>
              </w:rPr>
              <w:t>Zélande :</w:t>
            </w:r>
            <w:r w:rsidRPr="003123A1">
              <w:rPr>
                <w:sz w:val="20"/>
                <w:szCs w:val="20"/>
                <w:lang w:val="fr-FR"/>
              </w:rPr>
              <w:t xml:space="preserve"> </w:t>
            </w:r>
            <w:proofErr w:type="spellStart"/>
            <w:r w:rsidRPr="003123A1">
              <w:rPr>
                <w:sz w:val="20"/>
                <w:szCs w:val="20"/>
                <w:lang w:val="fr-FR"/>
              </w:rPr>
              <w:t>Countdown</w:t>
            </w:r>
            <w:proofErr w:type="spellEnd"/>
            <w:r w:rsidRPr="003123A1">
              <w:rPr>
                <w:sz w:val="20"/>
                <w:szCs w:val="20"/>
                <w:lang w:val="fr-FR"/>
              </w:rPr>
              <w:t xml:space="preserve"> (</w:t>
            </w:r>
            <w:proofErr w:type="spellStart"/>
            <w:r w:rsidRPr="003123A1">
              <w:rPr>
                <w:sz w:val="20"/>
                <w:szCs w:val="20"/>
                <w:lang w:val="fr-FR"/>
              </w:rPr>
              <w:t>Woolworths</w:t>
            </w:r>
            <w:proofErr w:type="spellEnd"/>
            <w:r w:rsidRPr="003123A1">
              <w:rPr>
                <w:sz w:val="20"/>
                <w:szCs w:val="20"/>
                <w:lang w:val="fr-FR"/>
              </w:rPr>
              <w:t>)</w:t>
            </w:r>
          </w:p>
        </w:tc>
      </w:tr>
      <w:tr w:rsidR="003123A1" w:rsidRPr="003123A1" w14:paraId="1C5AFA25" w14:textId="77777777" w:rsidTr="00A30359">
        <w:tc>
          <w:tcPr>
            <w:tcW w:w="4814" w:type="dxa"/>
          </w:tcPr>
          <w:p w14:paraId="101CC24A" w14:textId="5B52F12C" w:rsidR="003123A1" w:rsidRPr="003123A1" w:rsidRDefault="003123A1" w:rsidP="003123A1">
            <w:pPr>
              <w:rPr>
                <w:b/>
                <w:sz w:val="20"/>
                <w:szCs w:val="20"/>
                <w:lang w:val="fr-FR"/>
              </w:rPr>
            </w:pPr>
            <w:r w:rsidRPr="003123A1">
              <w:rPr>
                <w:sz w:val="20"/>
                <w:szCs w:val="20"/>
                <w:lang w:val="fr-FR"/>
              </w:rPr>
              <w:t xml:space="preserve">L'Australie : </w:t>
            </w:r>
            <w:proofErr w:type="spellStart"/>
            <w:r w:rsidRPr="003123A1">
              <w:rPr>
                <w:sz w:val="20"/>
                <w:szCs w:val="20"/>
                <w:lang w:val="fr-FR"/>
              </w:rPr>
              <w:t>Woolworths</w:t>
            </w:r>
            <w:proofErr w:type="spellEnd"/>
            <w:r w:rsidRPr="003123A1">
              <w:rPr>
                <w:sz w:val="20"/>
                <w:szCs w:val="20"/>
                <w:lang w:val="fr-FR"/>
              </w:rPr>
              <w:t xml:space="preserve"> </w:t>
            </w:r>
          </w:p>
        </w:tc>
        <w:tc>
          <w:tcPr>
            <w:tcW w:w="4815" w:type="dxa"/>
          </w:tcPr>
          <w:p w14:paraId="3A56507F" w14:textId="03DD806F" w:rsidR="003123A1" w:rsidRPr="003123A1" w:rsidRDefault="003123A1" w:rsidP="003123A1">
            <w:pPr>
              <w:rPr>
                <w:b/>
                <w:sz w:val="20"/>
                <w:szCs w:val="20"/>
                <w:lang w:val="fr-FR"/>
              </w:rPr>
            </w:pPr>
            <w:r w:rsidRPr="003123A1">
              <w:rPr>
                <w:sz w:val="20"/>
                <w:szCs w:val="20"/>
                <w:lang w:val="fr-FR"/>
              </w:rPr>
              <w:t>Pays-Bas : Superunie</w:t>
            </w:r>
          </w:p>
        </w:tc>
      </w:tr>
      <w:tr w:rsidR="003123A1" w:rsidRPr="003123A1" w14:paraId="018B6B97" w14:textId="77777777" w:rsidTr="00A30359">
        <w:tc>
          <w:tcPr>
            <w:tcW w:w="4814" w:type="dxa"/>
          </w:tcPr>
          <w:p w14:paraId="693B2765" w14:textId="49578A3F" w:rsidR="003123A1" w:rsidRPr="003123A1" w:rsidRDefault="003123A1" w:rsidP="003123A1">
            <w:pPr>
              <w:rPr>
                <w:b/>
                <w:sz w:val="20"/>
                <w:szCs w:val="20"/>
                <w:lang w:val="fr-FR"/>
              </w:rPr>
            </w:pPr>
            <w:r w:rsidRPr="003123A1">
              <w:rPr>
                <w:sz w:val="20"/>
                <w:szCs w:val="20"/>
                <w:lang w:val="fr-FR"/>
              </w:rPr>
              <w:t xml:space="preserve">Autriche : MARKANT </w:t>
            </w:r>
            <w:proofErr w:type="spellStart"/>
            <w:r w:rsidRPr="003123A1">
              <w:rPr>
                <w:sz w:val="20"/>
                <w:szCs w:val="20"/>
                <w:lang w:val="fr-FR"/>
              </w:rPr>
              <w:t>Österreich</w:t>
            </w:r>
            <w:proofErr w:type="spellEnd"/>
          </w:p>
        </w:tc>
        <w:tc>
          <w:tcPr>
            <w:tcW w:w="4815" w:type="dxa"/>
          </w:tcPr>
          <w:p w14:paraId="1D63323F" w14:textId="6394E5D5" w:rsidR="003123A1" w:rsidRPr="003123A1" w:rsidRDefault="003123A1" w:rsidP="003123A1">
            <w:pPr>
              <w:rPr>
                <w:b/>
                <w:sz w:val="20"/>
                <w:szCs w:val="20"/>
                <w:lang w:val="fr-FR"/>
              </w:rPr>
            </w:pPr>
            <w:r w:rsidRPr="003123A1">
              <w:rPr>
                <w:sz w:val="20"/>
                <w:szCs w:val="20"/>
                <w:lang w:val="fr-FR"/>
              </w:rPr>
              <w:t xml:space="preserve">Pologne : Kaufland </w:t>
            </w:r>
          </w:p>
        </w:tc>
      </w:tr>
      <w:tr w:rsidR="003123A1" w:rsidRPr="003123A1" w14:paraId="2C07A5F6" w14:textId="77777777" w:rsidTr="00A30359">
        <w:tc>
          <w:tcPr>
            <w:tcW w:w="4814" w:type="dxa"/>
          </w:tcPr>
          <w:p w14:paraId="5CAB2505" w14:textId="3E5F6F80" w:rsidR="003123A1" w:rsidRPr="003123A1" w:rsidRDefault="003123A1" w:rsidP="003123A1">
            <w:pPr>
              <w:rPr>
                <w:b/>
                <w:sz w:val="20"/>
                <w:szCs w:val="20"/>
                <w:lang w:val="fr-FR"/>
              </w:rPr>
            </w:pPr>
            <w:r w:rsidRPr="003123A1">
              <w:rPr>
                <w:sz w:val="20"/>
                <w:szCs w:val="20"/>
                <w:lang w:val="fr-FR"/>
              </w:rPr>
              <w:t>Bulgarie : Kaufland</w:t>
            </w:r>
          </w:p>
        </w:tc>
        <w:tc>
          <w:tcPr>
            <w:tcW w:w="4815" w:type="dxa"/>
          </w:tcPr>
          <w:p w14:paraId="2CB80E41" w14:textId="62420F78" w:rsidR="003123A1" w:rsidRPr="003123A1" w:rsidRDefault="003123A1" w:rsidP="003123A1">
            <w:pPr>
              <w:rPr>
                <w:b/>
                <w:sz w:val="20"/>
                <w:szCs w:val="20"/>
                <w:lang w:val="fr-FR"/>
              </w:rPr>
            </w:pPr>
            <w:r w:rsidRPr="003123A1">
              <w:rPr>
                <w:sz w:val="20"/>
                <w:szCs w:val="20"/>
                <w:lang w:val="fr-FR"/>
              </w:rPr>
              <w:t>Portugal : EuromadiPort</w:t>
            </w:r>
          </w:p>
        </w:tc>
      </w:tr>
      <w:tr w:rsidR="003123A1" w:rsidRPr="003123A1" w14:paraId="4EA2EA97" w14:textId="77777777" w:rsidTr="00A30359">
        <w:tc>
          <w:tcPr>
            <w:tcW w:w="4814" w:type="dxa"/>
          </w:tcPr>
          <w:p w14:paraId="3C7699BF" w14:textId="17FAFD07" w:rsidR="003123A1" w:rsidRPr="003123A1" w:rsidRDefault="003123A1" w:rsidP="003123A1">
            <w:pPr>
              <w:rPr>
                <w:b/>
                <w:sz w:val="20"/>
                <w:szCs w:val="20"/>
                <w:lang w:val="fr-FR"/>
              </w:rPr>
            </w:pPr>
            <w:r w:rsidRPr="003123A1">
              <w:rPr>
                <w:sz w:val="20"/>
                <w:szCs w:val="20"/>
                <w:lang w:val="fr-FR"/>
              </w:rPr>
              <w:t xml:space="preserve">Corée du Sud : Homeplus </w:t>
            </w:r>
          </w:p>
        </w:tc>
        <w:tc>
          <w:tcPr>
            <w:tcW w:w="4815" w:type="dxa"/>
          </w:tcPr>
          <w:p w14:paraId="2CF503E3" w14:textId="76B23AC5" w:rsidR="003123A1" w:rsidRPr="003123A1" w:rsidRDefault="003123A1" w:rsidP="003123A1">
            <w:pPr>
              <w:rPr>
                <w:b/>
                <w:sz w:val="20"/>
                <w:szCs w:val="20"/>
                <w:lang w:val="fr-FR"/>
              </w:rPr>
            </w:pPr>
            <w:r w:rsidRPr="003123A1">
              <w:rPr>
                <w:sz w:val="20"/>
                <w:szCs w:val="20"/>
                <w:lang w:val="fr-FR"/>
              </w:rPr>
              <w:t xml:space="preserve">République tchèque : </w:t>
            </w:r>
            <w:r w:rsidR="00D80C5D" w:rsidRPr="00D80C5D">
              <w:rPr>
                <w:sz w:val="20"/>
                <w:szCs w:val="20"/>
                <w:lang w:val="fr-FR"/>
              </w:rPr>
              <w:t>MARKANT</w:t>
            </w:r>
          </w:p>
        </w:tc>
      </w:tr>
      <w:tr w:rsidR="003123A1" w:rsidRPr="003123A1" w14:paraId="2EAA2921" w14:textId="77777777" w:rsidTr="00A30359">
        <w:tc>
          <w:tcPr>
            <w:tcW w:w="4814" w:type="dxa"/>
          </w:tcPr>
          <w:p w14:paraId="5B0E7580" w14:textId="5C40A05E" w:rsidR="003123A1" w:rsidRPr="003123A1" w:rsidRDefault="003123A1" w:rsidP="003123A1">
            <w:pPr>
              <w:rPr>
                <w:b/>
                <w:sz w:val="20"/>
                <w:szCs w:val="20"/>
                <w:lang w:val="fr-FR"/>
              </w:rPr>
            </w:pPr>
            <w:r w:rsidRPr="003123A1">
              <w:rPr>
                <w:sz w:val="20"/>
                <w:szCs w:val="20"/>
                <w:lang w:val="fr-FR"/>
              </w:rPr>
              <w:t xml:space="preserve">Croatie : Kaufland </w:t>
            </w:r>
          </w:p>
        </w:tc>
        <w:tc>
          <w:tcPr>
            <w:tcW w:w="4815" w:type="dxa"/>
          </w:tcPr>
          <w:p w14:paraId="54BE96C0" w14:textId="1BFB55B7" w:rsidR="003123A1" w:rsidRPr="003123A1" w:rsidRDefault="003123A1" w:rsidP="003123A1">
            <w:pPr>
              <w:rPr>
                <w:b/>
                <w:sz w:val="20"/>
                <w:szCs w:val="20"/>
                <w:lang w:val="fr-FR"/>
              </w:rPr>
            </w:pPr>
            <w:r w:rsidRPr="003123A1">
              <w:rPr>
                <w:sz w:val="20"/>
                <w:szCs w:val="20"/>
                <w:lang w:val="fr-FR"/>
              </w:rPr>
              <w:t xml:space="preserve">Roumanie : Kaufland </w:t>
            </w:r>
          </w:p>
        </w:tc>
      </w:tr>
      <w:tr w:rsidR="003123A1" w:rsidRPr="003123A1" w14:paraId="19FB06C7" w14:textId="77777777" w:rsidTr="00A30359">
        <w:tc>
          <w:tcPr>
            <w:tcW w:w="4814" w:type="dxa"/>
          </w:tcPr>
          <w:p w14:paraId="50F8A79C" w14:textId="365524AB" w:rsidR="003123A1" w:rsidRPr="003123A1" w:rsidRDefault="003123A1" w:rsidP="003123A1">
            <w:pPr>
              <w:rPr>
                <w:b/>
                <w:sz w:val="20"/>
                <w:szCs w:val="20"/>
                <w:lang w:val="fr-FR"/>
              </w:rPr>
            </w:pPr>
            <w:r w:rsidRPr="003123A1">
              <w:rPr>
                <w:sz w:val="20"/>
                <w:szCs w:val="20"/>
                <w:lang w:val="fr-FR"/>
              </w:rPr>
              <w:t xml:space="preserve">Le Danemark : Dagrofa      </w:t>
            </w:r>
          </w:p>
        </w:tc>
        <w:tc>
          <w:tcPr>
            <w:tcW w:w="4815" w:type="dxa"/>
          </w:tcPr>
          <w:p w14:paraId="6E42F698" w14:textId="1413FCFD" w:rsidR="003123A1" w:rsidRPr="003123A1" w:rsidRDefault="003123A1" w:rsidP="003123A1">
            <w:pPr>
              <w:rPr>
                <w:b/>
                <w:sz w:val="20"/>
                <w:szCs w:val="20"/>
                <w:lang w:val="fr-FR"/>
              </w:rPr>
            </w:pPr>
            <w:r w:rsidRPr="003123A1">
              <w:rPr>
                <w:sz w:val="20"/>
                <w:szCs w:val="20"/>
                <w:lang w:val="fr-FR"/>
              </w:rPr>
              <w:t>La Russie : Lenta</w:t>
            </w:r>
          </w:p>
        </w:tc>
      </w:tr>
      <w:tr w:rsidR="003123A1" w:rsidRPr="003123A1" w14:paraId="022DAFC7" w14:textId="77777777" w:rsidTr="00A30359">
        <w:tc>
          <w:tcPr>
            <w:tcW w:w="4814" w:type="dxa"/>
          </w:tcPr>
          <w:p w14:paraId="7246F521" w14:textId="11664A8B" w:rsidR="003123A1" w:rsidRPr="003123A1" w:rsidRDefault="003123A1" w:rsidP="003123A1">
            <w:pPr>
              <w:rPr>
                <w:sz w:val="20"/>
                <w:szCs w:val="20"/>
                <w:lang w:val="fr-FR"/>
              </w:rPr>
            </w:pPr>
            <w:r w:rsidRPr="003123A1">
              <w:rPr>
                <w:sz w:val="20"/>
                <w:szCs w:val="20"/>
                <w:lang w:val="fr-FR"/>
              </w:rPr>
              <w:t xml:space="preserve">Espagne : Euromadi </w:t>
            </w:r>
          </w:p>
        </w:tc>
        <w:tc>
          <w:tcPr>
            <w:tcW w:w="4815" w:type="dxa"/>
          </w:tcPr>
          <w:p w14:paraId="2736F3A4" w14:textId="344E5901" w:rsidR="003123A1" w:rsidRPr="003123A1" w:rsidRDefault="003123A1" w:rsidP="003123A1">
            <w:pPr>
              <w:rPr>
                <w:sz w:val="20"/>
                <w:szCs w:val="20"/>
                <w:lang w:val="fr-FR"/>
              </w:rPr>
            </w:pPr>
            <w:r w:rsidRPr="003123A1">
              <w:rPr>
                <w:sz w:val="20"/>
                <w:szCs w:val="20"/>
                <w:lang w:val="fr-FR"/>
              </w:rPr>
              <w:t xml:space="preserve">Slovaquie : MARKANT </w:t>
            </w:r>
          </w:p>
        </w:tc>
      </w:tr>
      <w:tr w:rsidR="003123A1" w:rsidRPr="003123A1" w14:paraId="7978AC8A" w14:textId="77777777" w:rsidTr="00A30359">
        <w:tc>
          <w:tcPr>
            <w:tcW w:w="4814" w:type="dxa"/>
          </w:tcPr>
          <w:p w14:paraId="36F8458F" w14:textId="1C4683E6" w:rsidR="003123A1" w:rsidRPr="003123A1" w:rsidRDefault="003123A1" w:rsidP="003123A1">
            <w:pPr>
              <w:rPr>
                <w:sz w:val="20"/>
                <w:szCs w:val="20"/>
                <w:lang w:val="fr-FR"/>
              </w:rPr>
            </w:pPr>
            <w:r w:rsidRPr="003123A1">
              <w:rPr>
                <w:sz w:val="20"/>
                <w:szCs w:val="20"/>
                <w:lang w:val="fr-FR"/>
              </w:rPr>
              <w:t xml:space="preserve">Italie : ESD Italia                                         </w:t>
            </w:r>
          </w:p>
        </w:tc>
        <w:tc>
          <w:tcPr>
            <w:tcW w:w="4815" w:type="dxa"/>
          </w:tcPr>
          <w:p w14:paraId="6D9147B4" w14:textId="3CB937C2" w:rsidR="003123A1" w:rsidRPr="003123A1" w:rsidRDefault="003123A1" w:rsidP="003123A1">
            <w:pPr>
              <w:rPr>
                <w:sz w:val="20"/>
                <w:szCs w:val="20"/>
                <w:lang w:val="fr-FR"/>
              </w:rPr>
            </w:pPr>
            <w:r w:rsidRPr="003123A1">
              <w:rPr>
                <w:sz w:val="20"/>
                <w:szCs w:val="20"/>
                <w:lang w:val="fr-FR"/>
              </w:rPr>
              <w:t>Suède : Axfood</w:t>
            </w:r>
          </w:p>
        </w:tc>
      </w:tr>
      <w:tr w:rsidR="003123A1" w:rsidRPr="003123A1" w14:paraId="7AD0699D" w14:textId="77777777" w:rsidTr="00A30359">
        <w:tc>
          <w:tcPr>
            <w:tcW w:w="4814" w:type="dxa"/>
          </w:tcPr>
          <w:p w14:paraId="7AC8B421" w14:textId="1496C000" w:rsidR="003123A1" w:rsidRPr="003123A1" w:rsidRDefault="005A2410" w:rsidP="003123A1">
            <w:pPr>
              <w:rPr>
                <w:b/>
                <w:sz w:val="20"/>
                <w:szCs w:val="20"/>
                <w:lang w:val="fr-FR"/>
              </w:rPr>
            </w:pPr>
            <w:r w:rsidRPr="000828AC">
              <w:rPr>
                <w:rFonts w:eastAsia="Verdana"/>
                <w:color w:val="0D0D0D"/>
                <w:sz w:val="20"/>
                <w:szCs w:val="20"/>
                <w:lang w:val="fr-FR"/>
              </w:rPr>
              <w:t>Norvège</w:t>
            </w:r>
            <w:r>
              <w:rPr>
                <w:rFonts w:eastAsia="Verdana"/>
                <w:color w:val="0D0D0D"/>
                <w:sz w:val="20"/>
                <w:szCs w:val="20"/>
                <w:lang w:val="fr-FR"/>
              </w:rPr>
              <w:t xml:space="preserve"> </w:t>
            </w:r>
            <w:r w:rsidRPr="003123A1">
              <w:rPr>
                <w:rFonts w:eastAsia="Verdana"/>
                <w:color w:val="0D0D0D"/>
                <w:sz w:val="20"/>
                <w:szCs w:val="20"/>
                <w:lang w:val="fr-FR"/>
              </w:rPr>
              <w:t xml:space="preserve">: </w:t>
            </w:r>
            <w:proofErr w:type="spellStart"/>
            <w:r w:rsidRPr="003123A1">
              <w:rPr>
                <w:rFonts w:eastAsia="Verdana"/>
                <w:color w:val="0D0D0D"/>
                <w:sz w:val="20"/>
                <w:szCs w:val="20"/>
                <w:lang w:val="fr-FR"/>
              </w:rPr>
              <w:t>Unil</w:t>
            </w:r>
            <w:proofErr w:type="spellEnd"/>
            <w:r w:rsidRPr="003123A1">
              <w:rPr>
                <w:rFonts w:eastAsia="Verdana"/>
                <w:color w:val="0D0D0D"/>
                <w:sz w:val="20"/>
                <w:szCs w:val="20"/>
                <w:lang w:val="fr-FR"/>
              </w:rPr>
              <w:t>/</w:t>
            </w:r>
            <w:proofErr w:type="spellStart"/>
            <w:r w:rsidRPr="003123A1">
              <w:rPr>
                <w:rFonts w:eastAsia="Verdana"/>
                <w:color w:val="0D0D0D"/>
                <w:sz w:val="20"/>
                <w:szCs w:val="20"/>
                <w:lang w:val="fr-FR"/>
              </w:rPr>
              <w:t>NorgesGruppen</w:t>
            </w:r>
            <w:proofErr w:type="spellEnd"/>
          </w:p>
        </w:tc>
        <w:tc>
          <w:tcPr>
            <w:tcW w:w="4815" w:type="dxa"/>
          </w:tcPr>
          <w:p w14:paraId="00B354FF" w14:textId="60CD0DFC" w:rsidR="003123A1" w:rsidRPr="003123A1" w:rsidRDefault="003123A1" w:rsidP="003123A1">
            <w:pPr>
              <w:rPr>
                <w:b/>
                <w:sz w:val="20"/>
                <w:szCs w:val="20"/>
                <w:lang w:val="fr-FR"/>
              </w:rPr>
            </w:pPr>
            <w:r w:rsidRPr="003123A1">
              <w:rPr>
                <w:sz w:val="20"/>
                <w:szCs w:val="20"/>
                <w:lang w:val="fr-FR"/>
              </w:rPr>
              <w:t>La Suisse : MARKANT</w:t>
            </w:r>
          </w:p>
        </w:tc>
      </w:tr>
    </w:tbl>
    <w:p w14:paraId="4ACDF169" w14:textId="77777777" w:rsidR="003123A1" w:rsidRPr="003123A1" w:rsidRDefault="003123A1" w:rsidP="002B2791">
      <w:pPr>
        <w:rPr>
          <w:b/>
          <w:bCs/>
          <w:sz w:val="20"/>
          <w:szCs w:val="20"/>
          <w:u w:val="single"/>
          <w:lang w:val="fr-FR"/>
        </w:rPr>
      </w:pPr>
    </w:p>
    <w:p w14:paraId="6E5E791B" w14:textId="59347C49" w:rsidR="002B2791" w:rsidRPr="003123A1" w:rsidRDefault="003123A1" w:rsidP="002B2791">
      <w:pPr>
        <w:rPr>
          <w:b/>
          <w:bCs/>
          <w:sz w:val="22"/>
          <w:szCs w:val="22"/>
          <w:u w:val="single"/>
          <w:lang w:val="fr-FR"/>
        </w:rPr>
      </w:pPr>
      <w:r w:rsidRPr="003123A1">
        <w:rPr>
          <w:b/>
          <w:bCs/>
          <w:sz w:val="22"/>
          <w:szCs w:val="22"/>
          <w:u w:val="single"/>
          <w:lang w:val="fr-FR"/>
        </w:rPr>
        <w:lastRenderedPageBreak/>
        <w:t xml:space="preserve">Pour plus </w:t>
      </w:r>
      <w:r w:rsidR="00BA5F38" w:rsidRPr="003123A1">
        <w:rPr>
          <w:b/>
          <w:bCs/>
          <w:sz w:val="22"/>
          <w:szCs w:val="22"/>
          <w:u w:val="single"/>
          <w:lang w:val="fr-FR"/>
        </w:rPr>
        <w:t>d’informations :</w:t>
      </w:r>
    </w:p>
    <w:p w14:paraId="3958EAAF" w14:textId="77777777" w:rsidR="002B2791" w:rsidRPr="003123A1" w:rsidRDefault="002B2791" w:rsidP="002B2791">
      <w:pPr>
        <w:rPr>
          <w:b/>
          <w:bCs/>
          <w:sz w:val="22"/>
          <w:szCs w:val="22"/>
          <w:u w:val="single"/>
          <w:lang w:val="fr-FR"/>
        </w:rPr>
      </w:pPr>
    </w:p>
    <w:p w14:paraId="162EAC13" w14:textId="77777777" w:rsidR="005A47FB" w:rsidRPr="007877A2" w:rsidRDefault="005A47FB" w:rsidP="005A47FB">
      <w:pPr>
        <w:tabs>
          <w:tab w:val="left" w:pos="3969"/>
        </w:tabs>
        <w:rPr>
          <w:b/>
          <w:bCs/>
          <w:sz w:val="22"/>
          <w:szCs w:val="22"/>
        </w:rPr>
      </w:pPr>
      <w:r>
        <w:rPr>
          <w:b/>
          <w:bCs/>
          <w:sz w:val="22"/>
          <w:szCs w:val="22"/>
        </w:rPr>
        <w:t>Donati</w:t>
      </w:r>
      <w:r w:rsidRPr="007877A2">
        <w:rPr>
          <w:b/>
          <w:bCs/>
          <w:sz w:val="22"/>
          <w:szCs w:val="22"/>
        </w:rPr>
        <w:t xml:space="preserve"> &amp; Rosmanith</w:t>
      </w:r>
    </w:p>
    <w:p w14:paraId="178C0AC7" w14:textId="77777777" w:rsidR="005A47FB" w:rsidRPr="007877A2" w:rsidRDefault="005A47FB" w:rsidP="005A47FB">
      <w:pPr>
        <w:tabs>
          <w:tab w:val="left" w:pos="3969"/>
        </w:tabs>
        <w:rPr>
          <w:sz w:val="22"/>
          <w:szCs w:val="22"/>
        </w:rPr>
      </w:pPr>
      <w:proofErr w:type="spellStart"/>
      <w:r>
        <w:rPr>
          <w:b/>
          <w:bCs/>
          <w:sz w:val="22"/>
          <w:szCs w:val="22"/>
        </w:rPr>
        <w:t>Better</w:t>
      </w:r>
      <w:proofErr w:type="spellEnd"/>
      <w:r>
        <w:rPr>
          <w:b/>
          <w:bCs/>
          <w:sz w:val="22"/>
          <w:szCs w:val="22"/>
        </w:rPr>
        <w:t xml:space="preserve"> Communications</w:t>
      </w:r>
    </w:p>
    <w:p w14:paraId="72863EC5" w14:textId="77777777" w:rsidR="005A47FB" w:rsidRPr="007877A2" w:rsidRDefault="005A47FB" w:rsidP="005A47FB">
      <w:pPr>
        <w:spacing w:line="240" w:lineRule="auto"/>
        <w:rPr>
          <w:sz w:val="22"/>
          <w:szCs w:val="22"/>
        </w:rPr>
      </w:pPr>
      <w:r w:rsidRPr="007877A2">
        <w:rPr>
          <w:sz w:val="22"/>
          <w:szCs w:val="22"/>
        </w:rPr>
        <w:t>Uwe Rosmanith</w:t>
      </w:r>
    </w:p>
    <w:p w14:paraId="2322FA8A" w14:textId="77777777" w:rsidR="005A47FB" w:rsidRPr="007877A2" w:rsidRDefault="005A47FB" w:rsidP="005A47FB">
      <w:pPr>
        <w:spacing w:line="240" w:lineRule="auto"/>
        <w:rPr>
          <w:sz w:val="22"/>
          <w:szCs w:val="22"/>
        </w:rPr>
      </w:pPr>
      <w:proofErr w:type="spellStart"/>
      <w:r>
        <w:rPr>
          <w:iCs/>
          <w:sz w:val="22"/>
          <w:szCs w:val="22"/>
        </w:rPr>
        <w:t>Triq</w:t>
      </w:r>
      <w:proofErr w:type="spellEnd"/>
      <w:r>
        <w:rPr>
          <w:iCs/>
          <w:sz w:val="22"/>
          <w:szCs w:val="22"/>
        </w:rPr>
        <w:t xml:space="preserve"> </w:t>
      </w:r>
      <w:proofErr w:type="spellStart"/>
      <w:r>
        <w:rPr>
          <w:iCs/>
          <w:sz w:val="22"/>
          <w:szCs w:val="22"/>
        </w:rPr>
        <w:t>ir-Rumani</w:t>
      </w:r>
      <w:proofErr w:type="spellEnd"/>
      <w:r>
        <w:rPr>
          <w:iCs/>
          <w:sz w:val="22"/>
          <w:szCs w:val="22"/>
        </w:rPr>
        <w:t>, 3</w:t>
      </w:r>
    </w:p>
    <w:p w14:paraId="0FF23410" w14:textId="77777777" w:rsidR="005A47FB" w:rsidRDefault="005A47FB" w:rsidP="005A47FB">
      <w:pPr>
        <w:spacing w:line="240" w:lineRule="auto"/>
        <w:rPr>
          <w:sz w:val="22"/>
          <w:szCs w:val="22"/>
        </w:rPr>
      </w:pPr>
      <w:r>
        <w:rPr>
          <w:sz w:val="22"/>
          <w:szCs w:val="22"/>
        </w:rPr>
        <w:t>Xlendi,</w:t>
      </w:r>
      <w:r w:rsidRPr="007877A2">
        <w:rPr>
          <w:sz w:val="22"/>
          <w:szCs w:val="22"/>
        </w:rPr>
        <w:t xml:space="preserve"> </w:t>
      </w:r>
      <w:r>
        <w:rPr>
          <w:sz w:val="22"/>
          <w:szCs w:val="22"/>
        </w:rPr>
        <w:t xml:space="preserve">XLN1431 </w:t>
      </w:r>
    </w:p>
    <w:p w14:paraId="59C3F891" w14:textId="77777777" w:rsidR="005A47FB" w:rsidRPr="007877A2" w:rsidRDefault="005A47FB" w:rsidP="005A47FB">
      <w:pPr>
        <w:spacing w:line="240" w:lineRule="auto"/>
        <w:rPr>
          <w:sz w:val="22"/>
          <w:szCs w:val="22"/>
        </w:rPr>
      </w:pPr>
      <w:r>
        <w:rPr>
          <w:sz w:val="22"/>
          <w:szCs w:val="22"/>
        </w:rPr>
        <w:t>Malta</w:t>
      </w:r>
    </w:p>
    <w:p w14:paraId="4E23B9B4" w14:textId="77777777" w:rsidR="005A47FB" w:rsidRPr="007877A2" w:rsidRDefault="005A47FB" w:rsidP="005A47FB">
      <w:pPr>
        <w:tabs>
          <w:tab w:val="left" w:pos="3969"/>
        </w:tabs>
        <w:spacing w:line="240" w:lineRule="auto"/>
        <w:rPr>
          <w:sz w:val="22"/>
          <w:szCs w:val="22"/>
        </w:rPr>
      </w:pPr>
      <w:r w:rsidRPr="007877A2">
        <w:rPr>
          <w:sz w:val="22"/>
          <w:szCs w:val="22"/>
        </w:rPr>
        <w:t xml:space="preserve">Phone: </w:t>
      </w:r>
      <w:r w:rsidRPr="00EC41D3">
        <w:rPr>
          <w:sz w:val="22"/>
          <w:szCs w:val="22"/>
        </w:rPr>
        <w:t>+49 171 9706644</w:t>
      </w:r>
    </w:p>
    <w:p w14:paraId="4B97FEDD" w14:textId="77777777" w:rsidR="005A47FB" w:rsidRPr="007877A2" w:rsidRDefault="005A47FB" w:rsidP="005A47FB">
      <w:pPr>
        <w:spacing w:line="240" w:lineRule="auto"/>
        <w:rPr>
          <w:sz w:val="22"/>
          <w:szCs w:val="22"/>
        </w:rPr>
      </w:pPr>
      <w:r>
        <w:rPr>
          <w:sz w:val="22"/>
          <w:szCs w:val="22"/>
        </w:rPr>
        <w:t>rosmanith</w:t>
      </w:r>
      <w:r w:rsidRPr="007877A2">
        <w:rPr>
          <w:sz w:val="22"/>
          <w:szCs w:val="22"/>
        </w:rPr>
        <w:t>@</w:t>
      </w:r>
      <w:r>
        <w:rPr>
          <w:sz w:val="22"/>
          <w:szCs w:val="22"/>
        </w:rPr>
        <w:t>bettercommunications.mt</w:t>
      </w:r>
    </w:p>
    <w:p w14:paraId="1CE58498" w14:textId="4ECFD517" w:rsidR="003759B4" w:rsidRPr="003123A1" w:rsidRDefault="003759B4" w:rsidP="005A47FB">
      <w:pPr>
        <w:tabs>
          <w:tab w:val="left" w:pos="3969"/>
        </w:tabs>
        <w:rPr>
          <w:sz w:val="22"/>
          <w:szCs w:val="22"/>
          <w:lang w:val="fr-FR"/>
        </w:rPr>
      </w:pPr>
    </w:p>
    <w:sectPr w:rsidR="003759B4" w:rsidRPr="003123A1" w:rsidSect="00256122">
      <w:headerReference w:type="default" r:id="rId9"/>
      <w:headerReference w:type="first" r:id="rId10"/>
      <w:pgSz w:w="11907" w:h="16840" w:code="9"/>
      <w:pgMar w:top="1985" w:right="1134" w:bottom="1077" w:left="1134" w:header="851" w:footer="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ED552" w14:textId="77777777" w:rsidR="002D3E92" w:rsidRDefault="002D3E92">
      <w:r>
        <w:separator/>
      </w:r>
    </w:p>
  </w:endnote>
  <w:endnote w:type="continuationSeparator" w:id="0">
    <w:p w14:paraId="2A7A2995" w14:textId="77777777" w:rsidR="002D3E92" w:rsidRDefault="002D3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6B4D1" w14:textId="77777777" w:rsidR="002D3E92" w:rsidRDefault="002D3E92">
      <w:r>
        <w:separator/>
      </w:r>
    </w:p>
  </w:footnote>
  <w:footnote w:type="continuationSeparator" w:id="0">
    <w:p w14:paraId="19C11B8B" w14:textId="77777777" w:rsidR="002D3E92" w:rsidRDefault="002D3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7BBBC" w14:textId="77777777" w:rsidR="00F349F7" w:rsidRDefault="00F349F7">
    <w:pPr>
      <w:jc w:val="right"/>
      <w:rPr>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D73E6" w14:textId="77777777" w:rsidR="00F349F7" w:rsidRDefault="001737FA">
    <w:pPr>
      <w:pStyle w:val="Header"/>
      <w:jc w:val="left"/>
    </w:pPr>
    <w:r w:rsidRPr="008F5307">
      <w:rPr>
        <w:noProof/>
        <w:snapToGrid/>
      </w:rPr>
      <w:drawing>
        <wp:inline distT="0" distB="0" distL="0" distR="0" wp14:anchorId="0ED56BD4" wp14:editId="2C966282">
          <wp:extent cx="850900" cy="660400"/>
          <wp:effectExtent l="0" t="0" r="0" b="0"/>
          <wp:docPr id="1" name="Bild 1" descr="emd_logo_cmy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md_logo_cmyk"/>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660400"/>
                  </a:xfrm>
                  <a:prstGeom prst="rect">
                    <a:avLst/>
                  </a:prstGeom>
                  <a:noFill/>
                  <a:ln>
                    <a:noFill/>
                  </a:ln>
                </pic:spPr>
              </pic:pic>
            </a:graphicData>
          </a:graphic>
        </wp:inline>
      </w:drawing>
    </w:r>
    <w:r w:rsidR="00F349F7">
      <w:tab/>
    </w:r>
    <w:r w:rsidR="00F349F7">
      <w:tab/>
    </w:r>
  </w:p>
  <w:p w14:paraId="18A42B6E" w14:textId="77777777" w:rsidR="00F349F7" w:rsidRPr="00DE0860" w:rsidRDefault="00F349F7">
    <w:pPr>
      <w:spacing w:after="240" w:line="240" w:lineRule="auto"/>
      <w:jc w:val="left"/>
      <w:rPr>
        <w:rFonts w:ascii="Trebuchet MS" w:hAnsi="Trebuchet MS" w:cs="Trebuchet MS"/>
        <w:b/>
        <w:bCs/>
        <w:color w:val="000000"/>
        <w:sz w:val="22"/>
        <w:szCs w:val="22"/>
        <w:lang w:val="it-IT"/>
      </w:rPr>
    </w:pPr>
    <w:r w:rsidRPr="00DE0860">
      <w:rPr>
        <w:rFonts w:ascii="Trebuchet MS" w:hAnsi="Trebuchet MS" w:cs="Trebuchet MS"/>
        <w:b/>
        <w:bCs/>
        <w:noProof/>
        <w:color w:val="000000"/>
        <w:sz w:val="22"/>
        <w:szCs w:val="22"/>
        <w:lang w:val="it-IT"/>
      </w:rPr>
      <w:t>European Marketing Distribution</w:t>
    </w:r>
  </w:p>
  <w:p w14:paraId="6D22CB83" w14:textId="77777777" w:rsidR="00F349F7" w:rsidRPr="00DE0860" w:rsidRDefault="00F349F7">
    <w:pPr>
      <w:pStyle w:val="Header"/>
      <w:jc w:val="left"/>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522323E"/>
    <w:lvl w:ilvl="0">
      <w:numFmt w:val="decimal"/>
      <w:lvlText w:val="*"/>
      <w:lvlJc w:val="left"/>
    </w:lvl>
  </w:abstractNum>
  <w:abstractNum w:abstractNumId="1" w15:restartNumberingAfterBreak="0">
    <w:nsid w:val="094542E4"/>
    <w:multiLevelType w:val="hybridMultilevel"/>
    <w:tmpl w:val="E7FAEDB8"/>
    <w:lvl w:ilvl="0" w:tplc="FFFFFFFF">
      <w:start w:val="1"/>
      <w:numFmt w:val="bullet"/>
      <w:pStyle w:val="Unterpunkt2"/>
      <w:lvlText w:val=""/>
      <w:lvlJc w:val="left"/>
      <w:pPr>
        <w:tabs>
          <w:tab w:val="num" w:pos="1134"/>
        </w:tabs>
        <w:ind w:left="1134" w:hanging="567"/>
      </w:pPr>
      <w:rPr>
        <w:rFonts w:ascii="Wingdings" w:hAnsi="Wingdings" w:cs="Wingdings" w:hint="default"/>
        <w:b w:val="0"/>
        <w:bCs w:val="0"/>
        <w:i w:val="0"/>
        <w:iCs w:val="0"/>
        <w:sz w:val="14"/>
        <w:szCs w:val="14"/>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Wingdings" w:hint="default"/>
      </w:rPr>
    </w:lvl>
    <w:lvl w:ilvl="4" w:tplc="FFFFFFFF">
      <w:start w:val="1"/>
      <w:numFmt w:val="bullet"/>
      <w:lvlText w:val="o"/>
      <w:lvlJc w:val="left"/>
      <w:pPr>
        <w:tabs>
          <w:tab w:val="num" w:pos="3600"/>
        </w:tabs>
        <w:ind w:left="3600" w:hanging="360"/>
      </w:pPr>
      <w:rPr>
        <w:rFonts w:ascii="Courier New" w:hAnsi="Courier New" w:cs="Wingdings"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Wingdings" w:hint="default"/>
      </w:rPr>
    </w:lvl>
    <w:lvl w:ilvl="7" w:tplc="FFFFFFFF">
      <w:start w:val="1"/>
      <w:numFmt w:val="bullet"/>
      <w:lvlText w:val="o"/>
      <w:lvlJc w:val="left"/>
      <w:pPr>
        <w:tabs>
          <w:tab w:val="num" w:pos="5760"/>
        </w:tabs>
        <w:ind w:left="5760" w:hanging="360"/>
      </w:pPr>
      <w:rPr>
        <w:rFonts w:ascii="Courier New" w:hAnsi="Courier New" w:cs="Wingdings"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9AE1C73"/>
    <w:multiLevelType w:val="hybridMultilevel"/>
    <w:tmpl w:val="1FDA415E"/>
    <w:lvl w:ilvl="0" w:tplc="FFFFFFFF">
      <w:start w:val="1"/>
      <w:numFmt w:val="bullet"/>
      <w:pStyle w:val="Unterpunkt3"/>
      <w:lvlText w:val=""/>
      <w:lvlJc w:val="left"/>
      <w:pPr>
        <w:tabs>
          <w:tab w:val="num" w:pos="1701"/>
        </w:tabs>
        <w:ind w:left="1701" w:hanging="567"/>
      </w:pPr>
      <w:rPr>
        <w:rFonts w:ascii="Wingdings" w:hAnsi="Wingdings" w:cs="Wingdings" w:hint="default"/>
        <w:b w:val="0"/>
        <w:bCs w:val="0"/>
        <w:i w:val="0"/>
        <w:iCs w:val="0"/>
        <w:sz w:val="12"/>
        <w:szCs w:val="12"/>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Wingdings" w:hint="default"/>
      </w:rPr>
    </w:lvl>
    <w:lvl w:ilvl="4" w:tplc="FFFFFFFF">
      <w:start w:val="1"/>
      <w:numFmt w:val="bullet"/>
      <w:lvlText w:val="o"/>
      <w:lvlJc w:val="left"/>
      <w:pPr>
        <w:tabs>
          <w:tab w:val="num" w:pos="3600"/>
        </w:tabs>
        <w:ind w:left="3600" w:hanging="360"/>
      </w:pPr>
      <w:rPr>
        <w:rFonts w:ascii="Courier New" w:hAnsi="Courier New" w:cs="Wingdings"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Wingdings" w:hint="default"/>
      </w:rPr>
    </w:lvl>
    <w:lvl w:ilvl="7" w:tplc="FFFFFFFF">
      <w:start w:val="1"/>
      <w:numFmt w:val="bullet"/>
      <w:lvlText w:val="o"/>
      <w:lvlJc w:val="left"/>
      <w:pPr>
        <w:tabs>
          <w:tab w:val="num" w:pos="5760"/>
        </w:tabs>
        <w:ind w:left="5760" w:hanging="360"/>
      </w:pPr>
      <w:rPr>
        <w:rFonts w:ascii="Courier New" w:hAnsi="Courier New" w:cs="Wingdings"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61F2907"/>
    <w:multiLevelType w:val="hybridMultilevel"/>
    <w:tmpl w:val="4A3AF390"/>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Wingdings"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Wingdings" w:hint="default"/>
      </w:rPr>
    </w:lvl>
    <w:lvl w:ilvl="4" w:tplc="04070003">
      <w:start w:val="1"/>
      <w:numFmt w:val="bullet"/>
      <w:lvlText w:val="o"/>
      <w:lvlJc w:val="left"/>
      <w:pPr>
        <w:tabs>
          <w:tab w:val="num" w:pos="3600"/>
        </w:tabs>
        <w:ind w:left="3600" w:hanging="360"/>
      </w:pPr>
      <w:rPr>
        <w:rFonts w:ascii="Courier New" w:hAnsi="Courier New" w:cs="Wingdings"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Wingdings" w:hint="default"/>
      </w:rPr>
    </w:lvl>
    <w:lvl w:ilvl="7" w:tplc="04070003">
      <w:start w:val="1"/>
      <w:numFmt w:val="bullet"/>
      <w:lvlText w:val="o"/>
      <w:lvlJc w:val="left"/>
      <w:pPr>
        <w:tabs>
          <w:tab w:val="num" w:pos="5760"/>
        </w:tabs>
        <w:ind w:left="5760" w:hanging="360"/>
      </w:pPr>
      <w:rPr>
        <w:rFonts w:ascii="Courier New" w:hAnsi="Courier New" w:cs="Wingdings"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7B163B0"/>
    <w:multiLevelType w:val="hybridMultilevel"/>
    <w:tmpl w:val="28BE44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E041CA6"/>
    <w:multiLevelType w:val="hybridMultilevel"/>
    <w:tmpl w:val="A75261CE"/>
    <w:lvl w:ilvl="0" w:tplc="26340FF6">
      <w:start w:val="1"/>
      <w:numFmt w:val="bullet"/>
      <w:lvlText w:val=""/>
      <w:lvlJc w:val="left"/>
      <w:pPr>
        <w:tabs>
          <w:tab w:val="num" w:pos="1134"/>
        </w:tabs>
        <w:ind w:left="1134" w:hanging="567"/>
      </w:pPr>
      <w:rPr>
        <w:rFonts w:ascii="Wingdings" w:hAnsi="Wingdings" w:cs="Wingdings" w:hint="default"/>
        <w:b w:val="0"/>
        <w:bCs w:val="0"/>
        <w:i w:val="0"/>
        <w:iCs w:val="0"/>
        <w:sz w:val="14"/>
        <w:szCs w:val="14"/>
      </w:rPr>
    </w:lvl>
    <w:lvl w:ilvl="1" w:tplc="04070003">
      <w:start w:val="1"/>
      <w:numFmt w:val="bullet"/>
      <w:lvlText w:val="o"/>
      <w:lvlJc w:val="left"/>
      <w:pPr>
        <w:tabs>
          <w:tab w:val="num" w:pos="2007"/>
        </w:tabs>
        <w:ind w:left="2007" w:hanging="360"/>
      </w:pPr>
      <w:rPr>
        <w:rFonts w:ascii="Courier New" w:hAnsi="Courier New" w:cs="Wingdings" w:hint="default"/>
      </w:rPr>
    </w:lvl>
    <w:lvl w:ilvl="2" w:tplc="04070005">
      <w:start w:val="1"/>
      <w:numFmt w:val="bullet"/>
      <w:lvlText w:val=""/>
      <w:lvlJc w:val="left"/>
      <w:pPr>
        <w:tabs>
          <w:tab w:val="num" w:pos="2727"/>
        </w:tabs>
        <w:ind w:left="2727" w:hanging="360"/>
      </w:pPr>
      <w:rPr>
        <w:rFonts w:ascii="Wingdings" w:hAnsi="Wingdings" w:cs="Wingdings" w:hint="default"/>
      </w:rPr>
    </w:lvl>
    <w:lvl w:ilvl="3" w:tplc="04070001">
      <w:start w:val="1"/>
      <w:numFmt w:val="bullet"/>
      <w:lvlText w:val=""/>
      <w:lvlJc w:val="left"/>
      <w:pPr>
        <w:tabs>
          <w:tab w:val="num" w:pos="3447"/>
        </w:tabs>
        <w:ind w:left="3447" w:hanging="360"/>
      </w:pPr>
      <w:rPr>
        <w:rFonts w:ascii="Symbol" w:hAnsi="Symbol" w:cs="Wingdings" w:hint="default"/>
      </w:rPr>
    </w:lvl>
    <w:lvl w:ilvl="4" w:tplc="04070003">
      <w:start w:val="1"/>
      <w:numFmt w:val="bullet"/>
      <w:lvlText w:val="o"/>
      <w:lvlJc w:val="left"/>
      <w:pPr>
        <w:tabs>
          <w:tab w:val="num" w:pos="4167"/>
        </w:tabs>
        <w:ind w:left="4167" w:hanging="360"/>
      </w:pPr>
      <w:rPr>
        <w:rFonts w:ascii="Courier New" w:hAnsi="Courier New" w:cs="Wingdings" w:hint="default"/>
      </w:rPr>
    </w:lvl>
    <w:lvl w:ilvl="5" w:tplc="04070005">
      <w:start w:val="1"/>
      <w:numFmt w:val="bullet"/>
      <w:lvlText w:val=""/>
      <w:lvlJc w:val="left"/>
      <w:pPr>
        <w:tabs>
          <w:tab w:val="num" w:pos="4887"/>
        </w:tabs>
        <w:ind w:left="4887" w:hanging="360"/>
      </w:pPr>
      <w:rPr>
        <w:rFonts w:ascii="Wingdings" w:hAnsi="Wingdings" w:cs="Wingdings" w:hint="default"/>
      </w:rPr>
    </w:lvl>
    <w:lvl w:ilvl="6" w:tplc="04070001">
      <w:start w:val="1"/>
      <w:numFmt w:val="bullet"/>
      <w:lvlText w:val=""/>
      <w:lvlJc w:val="left"/>
      <w:pPr>
        <w:tabs>
          <w:tab w:val="num" w:pos="5607"/>
        </w:tabs>
        <w:ind w:left="5607" w:hanging="360"/>
      </w:pPr>
      <w:rPr>
        <w:rFonts w:ascii="Symbol" w:hAnsi="Symbol" w:cs="Wingdings" w:hint="default"/>
      </w:rPr>
    </w:lvl>
    <w:lvl w:ilvl="7" w:tplc="04070003">
      <w:start w:val="1"/>
      <w:numFmt w:val="bullet"/>
      <w:lvlText w:val="o"/>
      <w:lvlJc w:val="left"/>
      <w:pPr>
        <w:tabs>
          <w:tab w:val="num" w:pos="6327"/>
        </w:tabs>
        <w:ind w:left="6327" w:hanging="360"/>
      </w:pPr>
      <w:rPr>
        <w:rFonts w:ascii="Courier New" w:hAnsi="Courier New" w:cs="Wingdings" w:hint="default"/>
      </w:rPr>
    </w:lvl>
    <w:lvl w:ilvl="8" w:tplc="04070005">
      <w:start w:val="1"/>
      <w:numFmt w:val="bullet"/>
      <w:lvlText w:val=""/>
      <w:lvlJc w:val="left"/>
      <w:pPr>
        <w:tabs>
          <w:tab w:val="num" w:pos="7047"/>
        </w:tabs>
        <w:ind w:left="7047" w:hanging="360"/>
      </w:pPr>
      <w:rPr>
        <w:rFonts w:ascii="Wingdings" w:hAnsi="Wingdings" w:cs="Wingdings" w:hint="default"/>
      </w:rPr>
    </w:lvl>
  </w:abstractNum>
  <w:abstractNum w:abstractNumId="6" w15:restartNumberingAfterBreak="0">
    <w:nsid w:val="62D24E22"/>
    <w:multiLevelType w:val="hybridMultilevel"/>
    <w:tmpl w:val="E622309E"/>
    <w:lvl w:ilvl="0" w:tplc="C02E38B6">
      <w:numFmt w:val="bullet"/>
      <w:lvlText w:val="-"/>
      <w:lvlJc w:val="left"/>
      <w:pPr>
        <w:ind w:left="720" w:hanging="360"/>
      </w:pPr>
      <w:rPr>
        <w:rFonts w:ascii="Verdana" w:eastAsia="Times New Roman" w:hAnsi="Verdana"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2F92769"/>
    <w:multiLevelType w:val="hybridMultilevel"/>
    <w:tmpl w:val="5DD64F2A"/>
    <w:lvl w:ilvl="0" w:tplc="FFFFFFFF">
      <w:start w:val="1"/>
      <w:numFmt w:val="bullet"/>
      <w:pStyle w:val="Unterpunkt"/>
      <w:lvlText w:val=""/>
      <w:lvlJc w:val="left"/>
      <w:pPr>
        <w:tabs>
          <w:tab w:val="num" w:pos="567"/>
        </w:tabs>
        <w:ind w:left="567" w:hanging="567"/>
      </w:pPr>
      <w:rPr>
        <w:rFonts w:ascii="Wingdings" w:hAnsi="Wingdings" w:cs="Wingdings" w:hint="default"/>
        <w:b w:val="0"/>
        <w:bCs w:val="0"/>
        <w:i w:val="0"/>
        <w:iCs w:val="0"/>
        <w:sz w:val="14"/>
        <w:szCs w:val="14"/>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Wingdings" w:hint="default"/>
      </w:rPr>
    </w:lvl>
    <w:lvl w:ilvl="4" w:tplc="FFFFFFFF">
      <w:start w:val="1"/>
      <w:numFmt w:val="bullet"/>
      <w:lvlText w:val="o"/>
      <w:lvlJc w:val="left"/>
      <w:pPr>
        <w:tabs>
          <w:tab w:val="num" w:pos="3600"/>
        </w:tabs>
        <w:ind w:left="3600" w:hanging="360"/>
      </w:pPr>
      <w:rPr>
        <w:rFonts w:ascii="Courier New" w:hAnsi="Courier New" w:cs="Wingdings"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Wingdings" w:hint="default"/>
      </w:rPr>
    </w:lvl>
    <w:lvl w:ilvl="7" w:tplc="FFFFFFFF">
      <w:start w:val="1"/>
      <w:numFmt w:val="bullet"/>
      <w:lvlText w:val="o"/>
      <w:lvlJc w:val="left"/>
      <w:pPr>
        <w:tabs>
          <w:tab w:val="num" w:pos="5760"/>
        </w:tabs>
        <w:ind w:left="5760" w:hanging="360"/>
      </w:pPr>
      <w:rPr>
        <w:rFonts w:ascii="Courier New" w:hAnsi="Courier New" w:cs="Wingdings" w:hint="default"/>
      </w:rPr>
    </w:lvl>
    <w:lvl w:ilvl="8" w:tplc="FFFFFFFF">
      <w:start w:val="1"/>
      <w:numFmt w:val="bullet"/>
      <w:lvlText w:val=""/>
      <w:lvlJc w:val="left"/>
      <w:pPr>
        <w:tabs>
          <w:tab w:val="num" w:pos="6480"/>
        </w:tabs>
        <w:ind w:left="6480" w:hanging="360"/>
      </w:pPr>
      <w:rPr>
        <w:rFonts w:ascii="Wingdings" w:hAnsi="Wingdings" w:cs="Wingdings" w:hint="default"/>
      </w:rPr>
    </w:lvl>
  </w:abstractNum>
  <w:num w:numId="1">
    <w:abstractNumId w:val="0"/>
    <w:lvlOverride w:ilvl="0">
      <w:lvl w:ilvl="0">
        <w:start w:val="1"/>
        <w:numFmt w:val="bullet"/>
        <w:lvlText w:val=""/>
        <w:lvlJc w:val="left"/>
        <w:pPr>
          <w:ind w:left="567" w:hanging="567"/>
        </w:pPr>
        <w:rPr>
          <w:rFonts w:ascii="Wingdings" w:hAnsi="Wingdings" w:cs="Wingdings" w:hint="default"/>
          <w:sz w:val="14"/>
          <w:szCs w:val="14"/>
        </w:rPr>
      </w:lvl>
    </w:lvlOverride>
  </w:num>
  <w:num w:numId="2">
    <w:abstractNumId w:val="0"/>
    <w:lvlOverride w:ilvl="0">
      <w:lvl w:ilvl="0">
        <w:start w:val="1"/>
        <w:numFmt w:val="bullet"/>
        <w:lvlText w:val=""/>
        <w:lvlJc w:val="left"/>
        <w:pPr>
          <w:ind w:left="567" w:hanging="567"/>
        </w:pPr>
        <w:rPr>
          <w:rFonts w:ascii="Wingdings" w:hAnsi="Wingdings" w:cs="Wingdings" w:hint="default"/>
          <w:sz w:val="14"/>
          <w:szCs w:val="14"/>
        </w:rPr>
      </w:lvl>
    </w:lvlOverride>
  </w:num>
  <w:num w:numId="3">
    <w:abstractNumId w:val="0"/>
    <w:lvlOverride w:ilvl="0">
      <w:lvl w:ilvl="0">
        <w:start w:val="1"/>
        <w:numFmt w:val="bullet"/>
        <w:lvlText w:val=""/>
        <w:lvlJc w:val="left"/>
        <w:pPr>
          <w:ind w:left="567" w:hanging="567"/>
        </w:pPr>
        <w:rPr>
          <w:rFonts w:ascii="Wingdings" w:hAnsi="Wingdings" w:cs="Wingdings" w:hint="default"/>
          <w:sz w:val="12"/>
          <w:szCs w:val="12"/>
        </w:rPr>
      </w:lvl>
    </w:lvlOverride>
  </w:num>
  <w:num w:numId="4">
    <w:abstractNumId w:val="7"/>
  </w:num>
  <w:num w:numId="5">
    <w:abstractNumId w:val="1"/>
  </w:num>
  <w:num w:numId="6">
    <w:abstractNumId w:val="2"/>
  </w:num>
  <w:num w:numId="7">
    <w:abstractNumId w:val="5"/>
  </w:num>
  <w:num w:numId="8">
    <w:abstractNumId w:val="3"/>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7CC"/>
    <w:rsid w:val="00010E6E"/>
    <w:rsid w:val="0001211D"/>
    <w:rsid w:val="00015842"/>
    <w:rsid w:val="000350CD"/>
    <w:rsid w:val="00036907"/>
    <w:rsid w:val="0004058C"/>
    <w:rsid w:val="000451D9"/>
    <w:rsid w:val="000519F0"/>
    <w:rsid w:val="00052658"/>
    <w:rsid w:val="00056355"/>
    <w:rsid w:val="00064BF0"/>
    <w:rsid w:val="000909EC"/>
    <w:rsid w:val="00095A67"/>
    <w:rsid w:val="000A555B"/>
    <w:rsid w:val="000B2C42"/>
    <w:rsid w:val="000C0C36"/>
    <w:rsid w:val="000C6461"/>
    <w:rsid w:val="000E1458"/>
    <w:rsid w:val="000E46C8"/>
    <w:rsid w:val="000E5434"/>
    <w:rsid w:val="00100085"/>
    <w:rsid w:val="001009DF"/>
    <w:rsid w:val="0011218F"/>
    <w:rsid w:val="00122AF3"/>
    <w:rsid w:val="0012431C"/>
    <w:rsid w:val="00143E1E"/>
    <w:rsid w:val="00154F4F"/>
    <w:rsid w:val="001737FA"/>
    <w:rsid w:val="00174A26"/>
    <w:rsid w:val="00196D69"/>
    <w:rsid w:val="001B14FD"/>
    <w:rsid w:val="001C28C8"/>
    <w:rsid w:val="001C51EC"/>
    <w:rsid w:val="001C634D"/>
    <w:rsid w:val="001E5171"/>
    <w:rsid w:val="001F3635"/>
    <w:rsid w:val="00221EA0"/>
    <w:rsid w:val="00234686"/>
    <w:rsid w:val="002369F0"/>
    <w:rsid w:val="00237D90"/>
    <w:rsid w:val="00245C85"/>
    <w:rsid w:val="002518B7"/>
    <w:rsid w:val="00256122"/>
    <w:rsid w:val="00257DF1"/>
    <w:rsid w:val="00270D37"/>
    <w:rsid w:val="00276C7D"/>
    <w:rsid w:val="0027758E"/>
    <w:rsid w:val="00281752"/>
    <w:rsid w:val="002A0CD1"/>
    <w:rsid w:val="002A2333"/>
    <w:rsid w:val="002A486E"/>
    <w:rsid w:val="002A4FB8"/>
    <w:rsid w:val="002B2791"/>
    <w:rsid w:val="002B2C16"/>
    <w:rsid w:val="002B5277"/>
    <w:rsid w:val="002B5533"/>
    <w:rsid w:val="002B6B6E"/>
    <w:rsid w:val="002D39E2"/>
    <w:rsid w:val="002D3E92"/>
    <w:rsid w:val="002D55DD"/>
    <w:rsid w:val="002D5DB2"/>
    <w:rsid w:val="002D7F3D"/>
    <w:rsid w:val="002E203F"/>
    <w:rsid w:val="002F189A"/>
    <w:rsid w:val="002F5674"/>
    <w:rsid w:val="002F5C8C"/>
    <w:rsid w:val="002F5EE2"/>
    <w:rsid w:val="0030130C"/>
    <w:rsid w:val="00302593"/>
    <w:rsid w:val="003048D7"/>
    <w:rsid w:val="00311B2F"/>
    <w:rsid w:val="003123A1"/>
    <w:rsid w:val="00317767"/>
    <w:rsid w:val="00317C9B"/>
    <w:rsid w:val="00321B97"/>
    <w:rsid w:val="00323BE0"/>
    <w:rsid w:val="00342274"/>
    <w:rsid w:val="0034466B"/>
    <w:rsid w:val="00346B68"/>
    <w:rsid w:val="00347469"/>
    <w:rsid w:val="00347713"/>
    <w:rsid w:val="003503B3"/>
    <w:rsid w:val="00352A41"/>
    <w:rsid w:val="00360D3B"/>
    <w:rsid w:val="00366C4F"/>
    <w:rsid w:val="003759B4"/>
    <w:rsid w:val="00382E4F"/>
    <w:rsid w:val="003902B8"/>
    <w:rsid w:val="003A04AF"/>
    <w:rsid w:val="003A248D"/>
    <w:rsid w:val="003C0E58"/>
    <w:rsid w:val="003C1C7F"/>
    <w:rsid w:val="003D1EC4"/>
    <w:rsid w:val="003D350D"/>
    <w:rsid w:val="003D3B8B"/>
    <w:rsid w:val="003F2941"/>
    <w:rsid w:val="004043D0"/>
    <w:rsid w:val="0042077E"/>
    <w:rsid w:val="00427F54"/>
    <w:rsid w:val="00432C9E"/>
    <w:rsid w:val="004361C3"/>
    <w:rsid w:val="0043744B"/>
    <w:rsid w:val="00442C80"/>
    <w:rsid w:val="00447DB0"/>
    <w:rsid w:val="00450725"/>
    <w:rsid w:val="00460542"/>
    <w:rsid w:val="004A140C"/>
    <w:rsid w:val="004A4105"/>
    <w:rsid w:val="004A4D80"/>
    <w:rsid w:val="004A5190"/>
    <w:rsid w:val="004B29DC"/>
    <w:rsid w:val="004B3FC0"/>
    <w:rsid w:val="004C2C45"/>
    <w:rsid w:val="004E570B"/>
    <w:rsid w:val="004E79C0"/>
    <w:rsid w:val="004F0918"/>
    <w:rsid w:val="0051183A"/>
    <w:rsid w:val="00524DDE"/>
    <w:rsid w:val="00527905"/>
    <w:rsid w:val="00534DF8"/>
    <w:rsid w:val="00543C38"/>
    <w:rsid w:val="00551639"/>
    <w:rsid w:val="00565558"/>
    <w:rsid w:val="00567AEF"/>
    <w:rsid w:val="005A2410"/>
    <w:rsid w:val="005A47FB"/>
    <w:rsid w:val="005C2F4A"/>
    <w:rsid w:val="005C3692"/>
    <w:rsid w:val="005C516A"/>
    <w:rsid w:val="005D3F5D"/>
    <w:rsid w:val="005E27E5"/>
    <w:rsid w:val="005E2830"/>
    <w:rsid w:val="005E314D"/>
    <w:rsid w:val="005E486C"/>
    <w:rsid w:val="005E65EB"/>
    <w:rsid w:val="005F19D4"/>
    <w:rsid w:val="00600F2C"/>
    <w:rsid w:val="00605367"/>
    <w:rsid w:val="006437FB"/>
    <w:rsid w:val="00645CC4"/>
    <w:rsid w:val="006579B9"/>
    <w:rsid w:val="00663C76"/>
    <w:rsid w:val="00666AD0"/>
    <w:rsid w:val="0067256E"/>
    <w:rsid w:val="00686208"/>
    <w:rsid w:val="006871E1"/>
    <w:rsid w:val="00690674"/>
    <w:rsid w:val="00691581"/>
    <w:rsid w:val="006950FA"/>
    <w:rsid w:val="006A5C3E"/>
    <w:rsid w:val="006D6DDE"/>
    <w:rsid w:val="006E3C0B"/>
    <w:rsid w:val="006E6A17"/>
    <w:rsid w:val="007265EB"/>
    <w:rsid w:val="007353B1"/>
    <w:rsid w:val="00740F1D"/>
    <w:rsid w:val="0074123A"/>
    <w:rsid w:val="0077013E"/>
    <w:rsid w:val="0077326E"/>
    <w:rsid w:val="00785346"/>
    <w:rsid w:val="007877A2"/>
    <w:rsid w:val="007A4437"/>
    <w:rsid w:val="007B276A"/>
    <w:rsid w:val="007D3251"/>
    <w:rsid w:val="007D5B82"/>
    <w:rsid w:val="007E0BA3"/>
    <w:rsid w:val="007E4E4A"/>
    <w:rsid w:val="007E53A7"/>
    <w:rsid w:val="007F3244"/>
    <w:rsid w:val="00801738"/>
    <w:rsid w:val="00802856"/>
    <w:rsid w:val="00807A01"/>
    <w:rsid w:val="00824A81"/>
    <w:rsid w:val="008312B2"/>
    <w:rsid w:val="00841365"/>
    <w:rsid w:val="00855492"/>
    <w:rsid w:val="00864223"/>
    <w:rsid w:val="0088398A"/>
    <w:rsid w:val="00884885"/>
    <w:rsid w:val="008934F2"/>
    <w:rsid w:val="008B2739"/>
    <w:rsid w:val="008B4F0A"/>
    <w:rsid w:val="008F5307"/>
    <w:rsid w:val="008F68EE"/>
    <w:rsid w:val="0092155B"/>
    <w:rsid w:val="009256D3"/>
    <w:rsid w:val="00937F49"/>
    <w:rsid w:val="009474C6"/>
    <w:rsid w:val="009501B6"/>
    <w:rsid w:val="009518AD"/>
    <w:rsid w:val="00952735"/>
    <w:rsid w:val="009640B9"/>
    <w:rsid w:val="00986EA7"/>
    <w:rsid w:val="00994AF7"/>
    <w:rsid w:val="00997388"/>
    <w:rsid w:val="009A1BF6"/>
    <w:rsid w:val="009F3266"/>
    <w:rsid w:val="00A077B0"/>
    <w:rsid w:val="00A13998"/>
    <w:rsid w:val="00A168B7"/>
    <w:rsid w:val="00A177CC"/>
    <w:rsid w:val="00A17C39"/>
    <w:rsid w:val="00A20BF4"/>
    <w:rsid w:val="00A30359"/>
    <w:rsid w:val="00A30BCB"/>
    <w:rsid w:val="00A36881"/>
    <w:rsid w:val="00A41FA0"/>
    <w:rsid w:val="00A60D57"/>
    <w:rsid w:val="00A72608"/>
    <w:rsid w:val="00A74D1A"/>
    <w:rsid w:val="00A75003"/>
    <w:rsid w:val="00A75EB3"/>
    <w:rsid w:val="00A87768"/>
    <w:rsid w:val="00A9122F"/>
    <w:rsid w:val="00A94B43"/>
    <w:rsid w:val="00AA3E19"/>
    <w:rsid w:val="00AA5BAA"/>
    <w:rsid w:val="00AC328E"/>
    <w:rsid w:val="00AC4938"/>
    <w:rsid w:val="00AC4C47"/>
    <w:rsid w:val="00AD0612"/>
    <w:rsid w:val="00AD1A95"/>
    <w:rsid w:val="00AD7021"/>
    <w:rsid w:val="00AD7790"/>
    <w:rsid w:val="00AF700D"/>
    <w:rsid w:val="00B114A8"/>
    <w:rsid w:val="00B129D2"/>
    <w:rsid w:val="00B141E6"/>
    <w:rsid w:val="00B15538"/>
    <w:rsid w:val="00B315C0"/>
    <w:rsid w:val="00B377F3"/>
    <w:rsid w:val="00B3786E"/>
    <w:rsid w:val="00B53D60"/>
    <w:rsid w:val="00B6581D"/>
    <w:rsid w:val="00B7040F"/>
    <w:rsid w:val="00BA0C25"/>
    <w:rsid w:val="00BA5F38"/>
    <w:rsid w:val="00BB29BB"/>
    <w:rsid w:val="00BC0458"/>
    <w:rsid w:val="00BC7203"/>
    <w:rsid w:val="00BD0F97"/>
    <w:rsid w:val="00BD3302"/>
    <w:rsid w:val="00BE0761"/>
    <w:rsid w:val="00C1680A"/>
    <w:rsid w:val="00C22508"/>
    <w:rsid w:val="00C31E5C"/>
    <w:rsid w:val="00C4728D"/>
    <w:rsid w:val="00C621CE"/>
    <w:rsid w:val="00C66BC9"/>
    <w:rsid w:val="00C67AB7"/>
    <w:rsid w:val="00C7279F"/>
    <w:rsid w:val="00C832E3"/>
    <w:rsid w:val="00C957E6"/>
    <w:rsid w:val="00CA5FE1"/>
    <w:rsid w:val="00CB1D82"/>
    <w:rsid w:val="00CB738A"/>
    <w:rsid w:val="00CC0D3A"/>
    <w:rsid w:val="00CC7B16"/>
    <w:rsid w:val="00CD2B46"/>
    <w:rsid w:val="00CE05C3"/>
    <w:rsid w:val="00CE152E"/>
    <w:rsid w:val="00CE1F83"/>
    <w:rsid w:val="00CF45AD"/>
    <w:rsid w:val="00CF7E9D"/>
    <w:rsid w:val="00D04608"/>
    <w:rsid w:val="00D3249C"/>
    <w:rsid w:val="00D326B5"/>
    <w:rsid w:val="00D362D9"/>
    <w:rsid w:val="00D36E1F"/>
    <w:rsid w:val="00D4468B"/>
    <w:rsid w:val="00D46A9A"/>
    <w:rsid w:val="00D80C5D"/>
    <w:rsid w:val="00D85652"/>
    <w:rsid w:val="00DB1D64"/>
    <w:rsid w:val="00DD08A0"/>
    <w:rsid w:val="00DD2540"/>
    <w:rsid w:val="00DE0860"/>
    <w:rsid w:val="00DE37B0"/>
    <w:rsid w:val="00DE5F2C"/>
    <w:rsid w:val="00DF65FD"/>
    <w:rsid w:val="00E11C0A"/>
    <w:rsid w:val="00E20888"/>
    <w:rsid w:val="00E36FE7"/>
    <w:rsid w:val="00E37C2B"/>
    <w:rsid w:val="00E418A0"/>
    <w:rsid w:val="00E50784"/>
    <w:rsid w:val="00E60253"/>
    <w:rsid w:val="00E605E8"/>
    <w:rsid w:val="00E6533C"/>
    <w:rsid w:val="00E675E5"/>
    <w:rsid w:val="00E8477B"/>
    <w:rsid w:val="00E93ADD"/>
    <w:rsid w:val="00EA2633"/>
    <w:rsid w:val="00EA5B1D"/>
    <w:rsid w:val="00EB32EE"/>
    <w:rsid w:val="00EB3CA5"/>
    <w:rsid w:val="00EB4B26"/>
    <w:rsid w:val="00EC1593"/>
    <w:rsid w:val="00EC314B"/>
    <w:rsid w:val="00EE2EC6"/>
    <w:rsid w:val="00EE4DDD"/>
    <w:rsid w:val="00EF5AF3"/>
    <w:rsid w:val="00F01D85"/>
    <w:rsid w:val="00F07B9F"/>
    <w:rsid w:val="00F108EE"/>
    <w:rsid w:val="00F1166B"/>
    <w:rsid w:val="00F15755"/>
    <w:rsid w:val="00F349F7"/>
    <w:rsid w:val="00F3565D"/>
    <w:rsid w:val="00F72C25"/>
    <w:rsid w:val="00F80132"/>
    <w:rsid w:val="00F87C96"/>
    <w:rsid w:val="00FA0081"/>
    <w:rsid w:val="00FA3117"/>
    <w:rsid w:val="00FC49AB"/>
    <w:rsid w:val="00FC513F"/>
    <w:rsid w:val="00FD5A59"/>
    <w:rsid w:val="00FE4237"/>
    <w:rsid w:val="00FE6D2A"/>
    <w:rsid w:val="00FF0244"/>
    <w:rsid w:val="00FF5B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900EF2"/>
  <w15:chartTrackingRefBased/>
  <w15:docId w15:val="{0C5D8116-0BD4-4642-B438-F323B779B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20" w:lineRule="auto"/>
      <w:jc w:val="both"/>
    </w:pPr>
    <w:rPr>
      <w:rFonts w:ascii="Verdana" w:hAnsi="Verdana" w:cs="Verdana"/>
      <w:snapToGrid w:val="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character" w:customStyle="1" w:styleId="Char5">
    <w:name w:val="Char5"/>
    <w:semiHidden/>
    <w:rPr>
      <w:rFonts w:ascii="Verdana" w:hAnsi="Verdana" w:cs="Verdana"/>
      <w:sz w:val="18"/>
      <w:szCs w:val="18"/>
      <w:lang w:val="de-DE"/>
    </w:rPr>
  </w:style>
  <w:style w:type="paragraph" w:styleId="Footer">
    <w:name w:val="footer"/>
    <w:basedOn w:val="Normal"/>
    <w:pPr>
      <w:tabs>
        <w:tab w:val="center" w:pos="4536"/>
        <w:tab w:val="right" w:pos="9072"/>
      </w:tabs>
    </w:pPr>
  </w:style>
  <w:style w:type="character" w:customStyle="1" w:styleId="Char4">
    <w:name w:val="Char4"/>
    <w:semiHidden/>
    <w:rPr>
      <w:rFonts w:ascii="Verdana" w:hAnsi="Verdana" w:cs="Verdana"/>
      <w:sz w:val="18"/>
      <w:szCs w:val="18"/>
      <w:lang w:val="de-DE"/>
    </w:rPr>
  </w:style>
  <w:style w:type="character" w:styleId="Hyperlink">
    <w:name w:val="Hyperlink"/>
    <w:rPr>
      <w:color w:val="0000FF"/>
      <w:u w:val="single"/>
    </w:rPr>
  </w:style>
  <w:style w:type="paragraph" w:customStyle="1" w:styleId="berschrift">
    <w:name w:val="Überschrift"/>
    <w:basedOn w:val="Normal"/>
    <w:next w:val="Normal"/>
    <w:rPr>
      <w:b/>
      <w:bCs/>
      <w:caps/>
      <w:sz w:val="24"/>
      <w:szCs w:val="24"/>
    </w:rPr>
  </w:style>
  <w:style w:type="paragraph" w:customStyle="1" w:styleId="Unterpunkt">
    <w:name w:val="Unterpunkt"/>
    <w:basedOn w:val="Normal"/>
    <w:next w:val="Normal"/>
    <w:pPr>
      <w:numPr>
        <w:numId w:val="4"/>
      </w:numPr>
    </w:pPr>
  </w:style>
  <w:style w:type="paragraph" w:customStyle="1" w:styleId="Unterpunkt2">
    <w:name w:val="Unterpunkt2"/>
    <w:basedOn w:val="Normal"/>
    <w:next w:val="Normal"/>
    <w:pPr>
      <w:numPr>
        <w:numId w:val="5"/>
      </w:numPr>
    </w:pPr>
  </w:style>
  <w:style w:type="paragraph" w:customStyle="1" w:styleId="Unterpunkt3">
    <w:name w:val="Unterpunkt3"/>
    <w:basedOn w:val="Normal"/>
    <w:next w:val="Normal"/>
    <w:pPr>
      <w:numPr>
        <w:numId w:val="6"/>
      </w:numPr>
    </w:pPr>
  </w:style>
  <w:style w:type="paragraph" w:customStyle="1" w:styleId="Zwischentitel">
    <w:name w:val="Zwischentitel"/>
    <w:basedOn w:val="Normal"/>
    <w:next w:val="Normal"/>
    <w:rPr>
      <w:b/>
      <w:bCs/>
      <w:sz w:val="20"/>
      <w:szCs w:val="20"/>
    </w:rPr>
  </w:style>
  <w:style w:type="paragraph" w:styleId="BalloonText">
    <w:name w:val="Balloon Text"/>
    <w:basedOn w:val="Normal"/>
    <w:semiHidden/>
    <w:rPr>
      <w:sz w:val="16"/>
      <w:szCs w:val="16"/>
    </w:rPr>
  </w:style>
  <w:style w:type="character" w:customStyle="1" w:styleId="CarCar">
    <w:name w:val="Car Car"/>
    <w:semiHidden/>
    <w:rPr>
      <w:sz w:val="2"/>
      <w:szCs w:val="2"/>
      <w:lang w:val="de-DE"/>
    </w:rPr>
  </w:style>
  <w:style w:type="paragraph" w:styleId="NormalWeb">
    <w:name w:val="Normal (Web)"/>
    <w:basedOn w:val="Normal"/>
    <w:pPr>
      <w:shd w:val="clear" w:color="auto" w:fill="FFFFFF"/>
      <w:spacing w:before="100" w:beforeAutospacing="1" w:after="100" w:afterAutospacing="1" w:line="240" w:lineRule="auto"/>
      <w:jc w:val="left"/>
    </w:pPr>
    <w:rPr>
      <w:color w:val="000000"/>
      <w:sz w:val="20"/>
      <w:szCs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customStyle="1" w:styleId="Char2">
    <w:name w:val="Char2"/>
    <w:semiHidden/>
    <w:rPr>
      <w:rFonts w:ascii="Verdana" w:hAnsi="Verdana" w:cs="Verdana"/>
      <w:sz w:val="20"/>
      <w:szCs w:val="20"/>
      <w:lang w:val="de-DE"/>
    </w:rPr>
  </w:style>
  <w:style w:type="paragraph" w:styleId="CommentSubject">
    <w:name w:val="annotation subject"/>
    <w:basedOn w:val="CommentText"/>
    <w:next w:val="CommentText"/>
    <w:semiHidden/>
    <w:rPr>
      <w:b/>
      <w:bCs/>
    </w:rPr>
  </w:style>
  <w:style w:type="character" w:customStyle="1" w:styleId="Char1">
    <w:name w:val="Char1"/>
    <w:semiHidden/>
    <w:rPr>
      <w:rFonts w:ascii="Verdana" w:hAnsi="Verdana" w:cs="Verdana"/>
      <w:b/>
      <w:bCs/>
      <w:sz w:val="20"/>
      <w:szCs w:val="20"/>
      <w:lang w:val="de-DE"/>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styleId="DocumentMap">
    <w:name w:val="Document Map"/>
    <w:basedOn w:val="Normal"/>
    <w:semiHidden/>
    <w:pPr>
      <w:shd w:val="clear" w:color="auto" w:fill="000080"/>
    </w:pPr>
    <w:rPr>
      <w:rFonts w:ascii="Times New Roman" w:hAnsi="Times New Roman" w:cs="Times New Roman"/>
      <w:sz w:val="20"/>
      <w:szCs w:val="20"/>
    </w:rPr>
  </w:style>
  <w:style w:type="character" w:customStyle="1" w:styleId="Char">
    <w:name w:val="Char"/>
    <w:semiHidden/>
    <w:rPr>
      <w:sz w:val="2"/>
      <w:szCs w:val="2"/>
      <w:lang w:val="de-DE"/>
    </w:rPr>
  </w:style>
  <w:style w:type="paragraph" w:styleId="ListParagraph">
    <w:name w:val="List Paragraph"/>
    <w:basedOn w:val="Normal"/>
    <w:qFormat/>
    <w:rsid w:val="002518B7"/>
    <w:pPr>
      <w:snapToGrid w:val="0"/>
      <w:spacing w:line="316" w:lineRule="auto"/>
      <w:ind w:left="720"/>
    </w:pPr>
    <w:rPr>
      <w:snapToGrid/>
      <w:lang w:eastAsia="es-ES"/>
    </w:rPr>
  </w:style>
  <w:style w:type="table" w:styleId="TableGrid">
    <w:name w:val="Table Grid"/>
    <w:basedOn w:val="TableNormal"/>
    <w:uiPriority w:val="59"/>
    <w:rsid w:val="00051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985775">
      <w:bodyDiv w:val="1"/>
      <w:marLeft w:val="0"/>
      <w:marRight w:val="0"/>
      <w:marTop w:val="0"/>
      <w:marBottom w:val="0"/>
      <w:divBdr>
        <w:top w:val="none" w:sz="0" w:space="0" w:color="auto"/>
        <w:left w:val="none" w:sz="0" w:space="0" w:color="auto"/>
        <w:bottom w:val="none" w:sz="0" w:space="0" w:color="auto"/>
        <w:right w:val="none" w:sz="0" w:space="0" w:color="auto"/>
      </w:divBdr>
    </w:div>
    <w:div w:id="912545318">
      <w:bodyDiv w:val="1"/>
      <w:marLeft w:val="0"/>
      <w:marRight w:val="0"/>
      <w:marTop w:val="0"/>
      <w:marBottom w:val="0"/>
      <w:divBdr>
        <w:top w:val="none" w:sz="0" w:space="0" w:color="auto"/>
        <w:left w:val="none" w:sz="0" w:space="0" w:color="auto"/>
        <w:bottom w:val="none" w:sz="0" w:space="0" w:color="auto"/>
        <w:right w:val="none" w:sz="0" w:space="0" w:color="auto"/>
      </w:divBdr>
    </w:div>
    <w:div w:id="214107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31CC9-4337-4E87-AC8F-D945C2949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3560</Characters>
  <Application>Microsoft Office Word</Application>
  <DocSecurity>4</DocSecurity>
  <Lines>29</Lines>
  <Paragraphs>8</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Herrn</vt:lpstr>
      <vt:lpstr>Herrn</vt:lpstr>
      <vt:lpstr>Herrn</vt:lpstr>
    </vt:vector>
  </TitlesOfParts>
  <Company>Dr. Dorothea Menedetter</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Herrn</dc:title>
  <dc:subject/>
  <dc:creator>bn</dc:creator>
  <cp:keywords/>
  <cp:lastModifiedBy>Philippe Gruyters</cp:lastModifiedBy>
  <cp:revision>2</cp:revision>
  <cp:lastPrinted>2019-05-22T13:09:00Z</cp:lastPrinted>
  <dcterms:created xsi:type="dcterms:W3CDTF">2021-02-22T13:53:00Z</dcterms:created>
  <dcterms:modified xsi:type="dcterms:W3CDTF">2021-02-22T13:53:00Z</dcterms:modified>
</cp:coreProperties>
</file>