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8A39B" w14:textId="77777777" w:rsidR="002B2791" w:rsidRPr="00450725" w:rsidRDefault="002B2791" w:rsidP="002B2791">
      <w:pPr>
        <w:rPr>
          <w:lang w:val="en-GB"/>
        </w:rPr>
      </w:pPr>
      <w:bookmarkStart w:id="0" w:name="_GoBack"/>
      <w:bookmarkEnd w:id="0"/>
    </w:p>
    <w:p w14:paraId="69192DD9" w14:textId="3F4009D2" w:rsidR="002B2791" w:rsidRPr="00DE137E" w:rsidRDefault="00AE5529" w:rsidP="002B2791">
      <w:r w:rsidRPr="00DE137E">
        <w:t>26</w:t>
      </w:r>
      <w:r w:rsidR="002B1EBB" w:rsidRPr="00DE137E">
        <w:t xml:space="preserve">. </w:t>
      </w:r>
      <w:r w:rsidR="00297C3F" w:rsidRPr="00DE137E">
        <w:t xml:space="preserve">Februar </w:t>
      </w:r>
      <w:r w:rsidR="00A30359" w:rsidRPr="00DE137E">
        <w:t>2021</w:t>
      </w:r>
    </w:p>
    <w:p w14:paraId="0600D50C" w14:textId="77777777" w:rsidR="002B2791" w:rsidRPr="00DE137E" w:rsidRDefault="002B2791" w:rsidP="002B2791"/>
    <w:p w14:paraId="68F9E075" w14:textId="37019073" w:rsidR="005E65EB" w:rsidRPr="00E51F82" w:rsidRDefault="00297C3F" w:rsidP="002B2791">
      <w:pPr>
        <w:spacing w:after="160" w:line="319" w:lineRule="auto"/>
        <w:rPr>
          <w:b/>
          <w:sz w:val="32"/>
          <w:szCs w:val="32"/>
        </w:rPr>
      </w:pPr>
      <w:r w:rsidRPr="00E51F82">
        <w:rPr>
          <w:b/>
          <w:sz w:val="32"/>
          <w:szCs w:val="32"/>
        </w:rPr>
        <w:t>EMD</w:t>
      </w:r>
      <w:r w:rsidR="00736326">
        <w:rPr>
          <w:b/>
          <w:sz w:val="32"/>
          <w:szCs w:val="32"/>
        </w:rPr>
        <w:t xml:space="preserve"> etabliert</w:t>
      </w:r>
      <w:r w:rsidR="00A51540" w:rsidRPr="00E51F82">
        <w:rPr>
          <w:b/>
          <w:sz w:val="32"/>
          <w:szCs w:val="32"/>
        </w:rPr>
        <w:t xml:space="preserve"> Sourcing Code of Conduct</w:t>
      </w:r>
      <w:r w:rsidR="00E51F82" w:rsidRPr="00E51F82">
        <w:rPr>
          <w:b/>
          <w:sz w:val="32"/>
          <w:szCs w:val="32"/>
        </w:rPr>
        <w:t xml:space="preserve"> </w:t>
      </w:r>
      <w:r w:rsidR="00DE137E">
        <w:rPr>
          <w:b/>
          <w:sz w:val="32"/>
          <w:szCs w:val="32"/>
        </w:rPr>
        <w:t xml:space="preserve">mit verbindlichen </w:t>
      </w:r>
      <w:r w:rsidR="00E51F82" w:rsidRPr="00E51F82">
        <w:rPr>
          <w:b/>
          <w:sz w:val="32"/>
          <w:szCs w:val="32"/>
        </w:rPr>
        <w:t>Einkaufsrichtlinien</w:t>
      </w:r>
    </w:p>
    <w:p w14:paraId="428C6807" w14:textId="68864D4D" w:rsidR="00297C3F" w:rsidRPr="00AE5529" w:rsidRDefault="00A51540" w:rsidP="00297C3F">
      <w:pPr>
        <w:pStyle w:val="ListParagraph"/>
        <w:numPr>
          <w:ilvl w:val="0"/>
          <w:numId w:val="9"/>
        </w:numPr>
        <w:spacing w:after="160" w:line="319" w:lineRule="auto"/>
        <w:rPr>
          <w:b/>
          <w:color w:val="000000" w:themeColor="text1"/>
          <w:sz w:val="22"/>
          <w:szCs w:val="22"/>
        </w:rPr>
      </w:pPr>
      <w:r w:rsidRPr="00AE5529">
        <w:rPr>
          <w:b/>
          <w:color w:val="000000" w:themeColor="text1"/>
          <w:sz w:val="22"/>
          <w:szCs w:val="22"/>
        </w:rPr>
        <w:t>Handelsallianz</w:t>
      </w:r>
      <w:r w:rsidR="00DE137E">
        <w:rPr>
          <w:b/>
          <w:color w:val="000000" w:themeColor="text1"/>
          <w:sz w:val="22"/>
          <w:szCs w:val="22"/>
        </w:rPr>
        <w:t xml:space="preserve"> setzt </w:t>
      </w:r>
      <w:r w:rsidR="00CE4BB9">
        <w:rPr>
          <w:b/>
          <w:color w:val="000000" w:themeColor="text1"/>
          <w:sz w:val="22"/>
          <w:szCs w:val="22"/>
        </w:rPr>
        <w:t xml:space="preserve">weiteren </w:t>
      </w:r>
      <w:r w:rsidR="00DE137E">
        <w:rPr>
          <w:b/>
          <w:color w:val="000000" w:themeColor="text1"/>
          <w:sz w:val="22"/>
          <w:szCs w:val="22"/>
        </w:rPr>
        <w:t xml:space="preserve">Meilenstein und bekennt sich ausdrücklich zur </w:t>
      </w:r>
      <w:r w:rsidRPr="00AE5529">
        <w:rPr>
          <w:b/>
          <w:color w:val="000000" w:themeColor="text1"/>
          <w:sz w:val="22"/>
          <w:szCs w:val="22"/>
        </w:rPr>
        <w:t>nachhaltige</w:t>
      </w:r>
      <w:r w:rsidR="00DE137E">
        <w:rPr>
          <w:b/>
          <w:color w:val="000000" w:themeColor="text1"/>
          <w:sz w:val="22"/>
          <w:szCs w:val="22"/>
        </w:rPr>
        <w:t>n</w:t>
      </w:r>
      <w:r w:rsidRPr="00AE5529">
        <w:rPr>
          <w:b/>
          <w:color w:val="000000" w:themeColor="text1"/>
          <w:sz w:val="22"/>
          <w:szCs w:val="22"/>
        </w:rPr>
        <w:t xml:space="preserve"> Beschaffung</w:t>
      </w:r>
      <w:r w:rsidR="002B1EBB" w:rsidRPr="00AE5529">
        <w:rPr>
          <w:b/>
          <w:color w:val="000000" w:themeColor="text1"/>
          <w:sz w:val="22"/>
          <w:szCs w:val="22"/>
        </w:rPr>
        <w:t xml:space="preserve"> </w:t>
      </w:r>
    </w:p>
    <w:p w14:paraId="1F7FB248" w14:textId="3401A60A" w:rsidR="00297C3F" w:rsidRPr="00AE5529" w:rsidRDefault="00AE5529" w:rsidP="00297C3F">
      <w:pPr>
        <w:pStyle w:val="ListParagraph"/>
        <w:numPr>
          <w:ilvl w:val="0"/>
          <w:numId w:val="9"/>
        </w:numPr>
        <w:spacing w:after="160" w:line="319" w:lineRule="auto"/>
        <w:rPr>
          <w:b/>
          <w:sz w:val="22"/>
          <w:szCs w:val="22"/>
        </w:rPr>
      </w:pPr>
      <w:r w:rsidRPr="00413D19">
        <w:rPr>
          <w:b/>
          <w:color w:val="000000" w:themeColor="text1"/>
          <w:sz w:val="22"/>
          <w:szCs w:val="22"/>
        </w:rPr>
        <w:t xml:space="preserve">Eigenmarken-Lieferanten </w:t>
      </w:r>
      <w:r w:rsidR="00DE137E">
        <w:rPr>
          <w:b/>
          <w:color w:val="000000" w:themeColor="text1"/>
          <w:sz w:val="22"/>
          <w:szCs w:val="22"/>
        </w:rPr>
        <w:t xml:space="preserve">werden </w:t>
      </w:r>
      <w:r w:rsidR="00AD1619" w:rsidRPr="00AE5529">
        <w:rPr>
          <w:b/>
          <w:sz w:val="22"/>
          <w:szCs w:val="22"/>
        </w:rPr>
        <w:t xml:space="preserve">bei der Erfüllung der festgelegten Kriterien </w:t>
      </w:r>
      <w:r w:rsidR="00DE137E">
        <w:rPr>
          <w:b/>
          <w:sz w:val="22"/>
          <w:szCs w:val="22"/>
        </w:rPr>
        <w:t>von der EMD unterstützt</w:t>
      </w:r>
    </w:p>
    <w:p w14:paraId="629A3EC4" w14:textId="4CEDC9B8" w:rsidR="002B2791" w:rsidRPr="00AE5529" w:rsidRDefault="00861EA6" w:rsidP="00297C3F">
      <w:pPr>
        <w:pStyle w:val="ListParagraph"/>
        <w:numPr>
          <w:ilvl w:val="0"/>
          <w:numId w:val="9"/>
        </w:numPr>
        <w:spacing w:after="160" w:line="319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EMD kündigt a</w:t>
      </w:r>
      <w:r w:rsidR="004D40F1">
        <w:rPr>
          <w:b/>
          <w:sz w:val="22"/>
          <w:szCs w:val="22"/>
        </w:rPr>
        <w:t xml:space="preserve">uch die </w:t>
      </w:r>
      <w:r w:rsidR="00DE137E">
        <w:rPr>
          <w:b/>
          <w:sz w:val="22"/>
          <w:szCs w:val="22"/>
        </w:rPr>
        <w:t xml:space="preserve">Zusammenarbeit mit den Nachhaltigkeitsinitiativen der </w:t>
      </w:r>
      <w:r w:rsidR="00A51540" w:rsidRPr="00AE5529">
        <w:rPr>
          <w:b/>
          <w:sz w:val="22"/>
          <w:szCs w:val="22"/>
        </w:rPr>
        <w:t xml:space="preserve">A-Brand-Lieferanten </w:t>
      </w:r>
      <w:r>
        <w:rPr>
          <w:b/>
          <w:sz w:val="22"/>
          <w:szCs w:val="22"/>
        </w:rPr>
        <w:t xml:space="preserve">an </w:t>
      </w:r>
    </w:p>
    <w:p w14:paraId="2377314B" w14:textId="23DB437D" w:rsidR="00C67AB7" w:rsidRPr="00AE5529" w:rsidRDefault="00AE5529" w:rsidP="00C67AB7">
      <w:pPr>
        <w:spacing w:after="120" w:line="319" w:lineRule="auto"/>
        <w:rPr>
          <w:noProof/>
          <w:snapToGrid/>
          <w:sz w:val="22"/>
          <w:szCs w:val="22"/>
        </w:rPr>
      </w:pPr>
      <w:r w:rsidRPr="00AD1619">
        <w:rPr>
          <w:noProof/>
          <w:snapToGrid/>
          <w:color w:val="000000" w:themeColor="text1"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C8660" wp14:editId="4B266248">
                <wp:simplePos x="0" y="0"/>
                <wp:positionH relativeFrom="column">
                  <wp:posOffset>3783965</wp:posOffset>
                </wp:positionH>
                <wp:positionV relativeFrom="paragraph">
                  <wp:posOffset>714375</wp:posOffset>
                </wp:positionV>
                <wp:extent cx="2286000" cy="3867150"/>
                <wp:effectExtent l="0" t="0" r="12700" b="19050"/>
                <wp:wrapTight wrapText="bothSides">
                  <wp:wrapPolygon edited="0">
                    <wp:start x="0" y="0"/>
                    <wp:lineTo x="0" y="21635"/>
                    <wp:lineTo x="21600" y="21635"/>
                    <wp:lineTo x="21600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867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A374BD" w14:textId="1D167070" w:rsidR="00A51540" w:rsidRDefault="002F352D" w:rsidP="00C957E6">
                            <w:pPr>
                              <w:spacing w:line="240" w:lineRule="auto"/>
                              <w:jc w:val="left"/>
                              <w:rPr>
                                <w:rFonts w:cs="Calibri"/>
                                <w:noProof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noProof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0E43B61" wp14:editId="20DD5971">
                                  <wp:extent cx="1934210" cy="2622550"/>
                                  <wp:effectExtent l="0" t="0" r="0" b="6350"/>
                                  <wp:docPr id="2" name="Grafik 2" descr="Ein Bild, das Person, Mann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Ein Bild, das Person, Mann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34210" cy="2622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877997" w14:textId="602B5A90" w:rsidR="00506259" w:rsidRPr="00506259" w:rsidRDefault="006650F9" w:rsidP="00506259">
                            <w:pPr>
                              <w:spacing w:line="240" w:lineRule="auto"/>
                              <w:jc w:val="left"/>
                              <w:rPr>
                                <w:rFonts w:ascii="Times New Roman" w:hAnsi="Times New Roman" w:cs="Times New Roman"/>
                                <w:snapToGrid/>
                                <w:sz w:val="24"/>
                                <w:szCs w:val="24"/>
                              </w:rPr>
                            </w:pPr>
                            <w:r w:rsidRPr="00AE5529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 xml:space="preserve">Nur Lieferanten, die </w:t>
                            </w:r>
                            <w:r w:rsidR="00861EA6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>alle</w:t>
                            </w:r>
                            <w:r w:rsidRPr="00AE5529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 xml:space="preserve"> verbindlichen Verantwortungs- und Nachhaltigkeitsrichtlinien der EMD einhalten, können sich für internationale EMD-Ausschreibungen qualifizieren.</w:t>
                            </w:r>
                            <w:r w:rsidR="002F352D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 xml:space="preserve"> Foto: </w:t>
                            </w:r>
                            <w:r w:rsidR="0026303F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>stock.adobe.com/</w:t>
                            </w:r>
                            <w:r w:rsidR="002F352D"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  <w:t>EMD</w:t>
                            </w:r>
                          </w:p>
                          <w:p w14:paraId="1D6C8D62" w14:textId="65505E02" w:rsidR="005F19D4" w:rsidRPr="00AE5529" w:rsidRDefault="005F19D4" w:rsidP="005F19D4">
                            <w:pPr>
                              <w:spacing w:line="240" w:lineRule="auto"/>
                              <w:rPr>
                                <w:rFonts w:cs="Calibri"/>
                                <w:snapToGrid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C8660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97.95pt;margin-top:56.25pt;width:180pt;height:30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" fillcolor="white [3201]" strokeweight=".5pt">
                <v:textbox>
                  <w:txbxContent>
                    <w:p w14:paraId="72A374BD" w14:textId="1D167070" w:rsidR="00A51540" w:rsidRDefault="002F352D" w:rsidP="00C957E6">
                      <w:pPr>
                        <w:spacing w:line="240" w:lineRule="auto"/>
                        <w:jc w:val="left"/>
                        <w:rPr>
                          <w:rFonts w:cs="Calibri"/>
                          <w:noProof/>
                          <w:snapToGrid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noProof/>
                          <w:snapToGrid/>
                          <w:color w:val="000000"/>
                          <w:sz w:val="20"/>
                          <w:szCs w:val="20"/>
                        </w:rPr>
                        <w:drawing>
                          <wp:inline distT="0" distB="0" distL="0" distR="0" wp14:anchorId="00E43B61" wp14:editId="20DD5971">
                            <wp:extent cx="1934210" cy="2622550"/>
                            <wp:effectExtent l="0" t="0" r="0" b="6350"/>
                            <wp:docPr id="2" name="Grafik 2" descr="Ein Bild, das Person, Mann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 descr="Ein Bild, das Person, Mann enthält.&#10;&#10;Automatisch generierte Beschreibu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34210" cy="2622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877997" w14:textId="602B5A90" w:rsidR="00506259" w:rsidRPr="00506259" w:rsidRDefault="006650F9" w:rsidP="00506259">
                      <w:pPr>
                        <w:spacing w:line="240" w:lineRule="auto"/>
                        <w:jc w:val="left"/>
                        <w:rPr>
                          <w:rFonts w:ascii="Times New Roman" w:hAnsi="Times New Roman" w:cs="Times New Roman"/>
                          <w:snapToGrid/>
                          <w:sz w:val="24"/>
                          <w:szCs w:val="24"/>
                        </w:rPr>
                      </w:pPr>
                      <w:r w:rsidRPr="00AE5529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 xml:space="preserve">Nur Lieferanten, die </w:t>
                      </w:r>
                      <w:r w:rsidR="00861EA6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>alle</w:t>
                      </w:r>
                      <w:r w:rsidRPr="00AE5529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 xml:space="preserve"> verbindlichen Verantwortungs- und Nachhaltigkeitsrichtlinien der EMD einhalten, können sich für internationale EMD-Ausschreibungen qualifizieren.</w:t>
                      </w:r>
                      <w:r w:rsidR="002F352D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 xml:space="preserve"> Foto: </w:t>
                      </w:r>
                      <w:r w:rsidR="0026303F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>stock.adobe.com/</w:t>
                      </w:r>
                      <w:r w:rsidR="002F352D"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  <w:t>EMD</w:t>
                      </w:r>
                    </w:p>
                    <w:p w14:paraId="1D6C8D62" w14:textId="65505E02" w:rsidR="005F19D4" w:rsidRPr="00AE5529" w:rsidRDefault="005F19D4" w:rsidP="005F19D4">
                      <w:pPr>
                        <w:spacing w:line="240" w:lineRule="auto"/>
                        <w:rPr>
                          <w:rFonts w:cs="Calibri"/>
                          <w:snapToGrid/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AD1619" w:rsidRPr="00AE5529">
        <w:rPr>
          <w:b/>
          <w:bCs/>
          <w:noProof/>
          <w:snapToGrid/>
          <w:color w:val="000000" w:themeColor="text1"/>
          <w:sz w:val="22"/>
          <w:szCs w:val="22"/>
        </w:rPr>
        <w:t xml:space="preserve">Pfäffikon/Schweiz. </w:t>
      </w:r>
      <w:r w:rsidR="00297C3F" w:rsidRPr="00AE5529">
        <w:rPr>
          <w:noProof/>
          <w:snapToGrid/>
          <w:sz w:val="22"/>
          <w:szCs w:val="22"/>
        </w:rPr>
        <w:t xml:space="preserve">Verantwortung für Menschen, </w:t>
      </w:r>
      <w:r w:rsidR="002B1EBB" w:rsidRPr="00AE5529">
        <w:rPr>
          <w:noProof/>
          <w:snapToGrid/>
          <w:color w:val="000000" w:themeColor="text1"/>
          <w:sz w:val="22"/>
          <w:szCs w:val="22"/>
        </w:rPr>
        <w:t xml:space="preserve">Arbeitsbedingungen </w:t>
      </w:r>
      <w:r w:rsidR="00297C3F" w:rsidRPr="00AE5529">
        <w:rPr>
          <w:noProof/>
          <w:snapToGrid/>
          <w:sz w:val="22"/>
          <w:szCs w:val="22"/>
        </w:rPr>
        <w:t xml:space="preserve">und Umwelt </w:t>
      </w:r>
      <w:r w:rsidR="00D250A7">
        <w:rPr>
          <w:noProof/>
          <w:snapToGrid/>
          <w:sz w:val="22"/>
          <w:szCs w:val="22"/>
        </w:rPr>
        <w:t>–</w:t>
      </w:r>
      <w:r w:rsidR="00297C3F" w:rsidRPr="00AE5529">
        <w:rPr>
          <w:noProof/>
          <w:snapToGrid/>
          <w:sz w:val="22"/>
          <w:szCs w:val="22"/>
        </w:rPr>
        <w:t xml:space="preserve"> </w:t>
      </w:r>
      <w:r w:rsidR="00D250A7">
        <w:rPr>
          <w:noProof/>
          <w:snapToGrid/>
          <w:sz w:val="22"/>
          <w:szCs w:val="22"/>
        </w:rPr>
        <w:t xml:space="preserve">die EMD als </w:t>
      </w:r>
      <w:r w:rsidR="00297C3F" w:rsidRPr="00AE5529">
        <w:rPr>
          <w:noProof/>
          <w:snapToGrid/>
          <w:sz w:val="22"/>
          <w:szCs w:val="22"/>
        </w:rPr>
        <w:t>Europas führende Einkaufs</w:t>
      </w:r>
      <w:r w:rsidR="00D250A7">
        <w:rPr>
          <w:noProof/>
          <w:snapToGrid/>
          <w:sz w:val="22"/>
          <w:szCs w:val="22"/>
        </w:rPr>
        <w:t>allianz bekennt sich</w:t>
      </w:r>
      <w:r w:rsidR="00297C3F" w:rsidRPr="00AE5529">
        <w:rPr>
          <w:noProof/>
          <w:snapToGrid/>
          <w:sz w:val="22"/>
          <w:szCs w:val="22"/>
        </w:rPr>
        <w:t xml:space="preserve"> </w:t>
      </w:r>
      <w:r w:rsidR="00D250A7">
        <w:rPr>
          <w:noProof/>
          <w:snapToGrid/>
          <w:sz w:val="22"/>
          <w:szCs w:val="22"/>
        </w:rPr>
        <w:t xml:space="preserve">seit jeher dazu. </w:t>
      </w:r>
      <w:r w:rsidR="00297C3F" w:rsidRPr="00AE5529">
        <w:rPr>
          <w:noProof/>
          <w:snapToGrid/>
          <w:sz w:val="22"/>
          <w:szCs w:val="22"/>
        </w:rPr>
        <w:t>Jetz</w:t>
      </w:r>
      <w:r w:rsidR="00736326">
        <w:rPr>
          <w:noProof/>
          <w:snapToGrid/>
          <w:sz w:val="22"/>
          <w:szCs w:val="22"/>
        </w:rPr>
        <w:t xml:space="preserve">t wird </w:t>
      </w:r>
      <w:r w:rsidR="00297C3F" w:rsidRPr="00AE5529">
        <w:rPr>
          <w:noProof/>
          <w:snapToGrid/>
          <w:sz w:val="22"/>
          <w:szCs w:val="22"/>
        </w:rPr>
        <w:t xml:space="preserve">das Top-Thema der </w:t>
      </w:r>
      <w:r w:rsidR="002B1EBB" w:rsidRPr="00AE5529">
        <w:rPr>
          <w:noProof/>
          <w:snapToGrid/>
          <w:sz w:val="22"/>
          <w:szCs w:val="22"/>
        </w:rPr>
        <w:t xml:space="preserve">sozialen </w:t>
      </w:r>
      <w:r w:rsidR="00D250A7">
        <w:rPr>
          <w:noProof/>
          <w:snapToGrid/>
          <w:sz w:val="22"/>
          <w:szCs w:val="22"/>
        </w:rPr>
        <w:t xml:space="preserve">Verantwortung und </w:t>
      </w:r>
      <w:r w:rsidR="00297C3F" w:rsidRPr="00AE5529">
        <w:rPr>
          <w:noProof/>
          <w:snapToGrid/>
          <w:sz w:val="22"/>
          <w:szCs w:val="22"/>
        </w:rPr>
        <w:t xml:space="preserve">Nachhaltigkeit von </w:t>
      </w:r>
      <w:r w:rsidR="00736326">
        <w:rPr>
          <w:noProof/>
          <w:snapToGrid/>
          <w:sz w:val="22"/>
          <w:szCs w:val="22"/>
        </w:rPr>
        <w:t xml:space="preserve">der </w:t>
      </w:r>
      <w:r w:rsidR="00297C3F" w:rsidRPr="00AE5529">
        <w:rPr>
          <w:noProof/>
          <w:snapToGrid/>
          <w:sz w:val="22"/>
          <w:szCs w:val="22"/>
        </w:rPr>
        <w:t xml:space="preserve">European Marketing Distribution noch konkreter definiert: </w:t>
      </w:r>
      <w:r w:rsidR="00B52C1A" w:rsidRPr="00AE5529">
        <w:rPr>
          <w:noProof/>
          <w:snapToGrid/>
          <w:sz w:val="22"/>
          <w:szCs w:val="22"/>
        </w:rPr>
        <w:t xml:space="preserve">Private Label-Lieferanten </w:t>
      </w:r>
      <w:r w:rsidR="00D250A7">
        <w:rPr>
          <w:noProof/>
          <w:snapToGrid/>
          <w:sz w:val="22"/>
          <w:szCs w:val="22"/>
        </w:rPr>
        <w:t>unterliegen</w:t>
      </w:r>
      <w:r w:rsidR="00B52C1A" w:rsidRPr="00AE5529">
        <w:rPr>
          <w:noProof/>
          <w:snapToGrid/>
          <w:sz w:val="22"/>
          <w:szCs w:val="22"/>
        </w:rPr>
        <w:t xml:space="preserve"> </w:t>
      </w:r>
      <w:r w:rsidR="00297C3F" w:rsidRPr="00AE5529">
        <w:rPr>
          <w:noProof/>
          <w:snapToGrid/>
          <w:sz w:val="22"/>
          <w:szCs w:val="22"/>
        </w:rPr>
        <w:t xml:space="preserve">ab sofort einem </w:t>
      </w:r>
      <w:r w:rsidR="00B52C1A" w:rsidRPr="00AE5529">
        <w:rPr>
          <w:noProof/>
          <w:snapToGrid/>
          <w:sz w:val="22"/>
          <w:szCs w:val="22"/>
        </w:rPr>
        <w:t>SOURCING CODE OF CONDUCT</w:t>
      </w:r>
      <w:r w:rsidR="00297C3F" w:rsidRPr="00AE5529">
        <w:rPr>
          <w:noProof/>
          <w:snapToGrid/>
          <w:sz w:val="22"/>
          <w:szCs w:val="22"/>
        </w:rPr>
        <w:t xml:space="preserve">, der 12 Nachhaltigkeitskriterien für die Zusammenarbeit mit der EMD </w:t>
      </w:r>
      <w:r w:rsidR="004D40F1">
        <w:rPr>
          <w:noProof/>
          <w:snapToGrid/>
          <w:sz w:val="22"/>
          <w:szCs w:val="22"/>
        </w:rPr>
        <w:t>festlegt</w:t>
      </w:r>
      <w:r w:rsidR="00297C3F" w:rsidRPr="00AE5529">
        <w:rPr>
          <w:noProof/>
          <w:snapToGrid/>
          <w:sz w:val="22"/>
          <w:szCs w:val="22"/>
        </w:rPr>
        <w:t>. Inhaltlich orientieren sich diese Einkaufsrichtlinien an der Sustainable Supply Chain Initiative (</w:t>
      </w:r>
      <w:r w:rsidR="00B52C1A" w:rsidRPr="00AE5529">
        <w:rPr>
          <w:noProof/>
          <w:snapToGrid/>
          <w:sz w:val="22"/>
          <w:szCs w:val="22"/>
        </w:rPr>
        <w:t xml:space="preserve">in der </w:t>
      </w:r>
      <w:r w:rsidR="00297C3F" w:rsidRPr="00AE5529">
        <w:rPr>
          <w:noProof/>
          <w:snapToGrid/>
          <w:sz w:val="22"/>
          <w:szCs w:val="22"/>
        </w:rPr>
        <w:t xml:space="preserve">die EMD aktives Mitglied ist) des Consumer Goods Forum (CGF). </w:t>
      </w:r>
      <w:r w:rsidR="00B52C1A" w:rsidRPr="00AE5529">
        <w:rPr>
          <w:noProof/>
          <w:snapToGrid/>
          <w:sz w:val="22"/>
          <w:szCs w:val="22"/>
        </w:rPr>
        <w:t xml:space="preserve">Private </w:t>
      </w:r>
      <w:r w:rsidR="00297C3F" w:rsidRPr="00AE5529">
        <w:rPr>
          <w:noProof/>
          <w:snapToGrid/>
          <w:sz w:val="22"/>
          <w:szCs w:val="22"/>
        </w:rPr>
        <w:t xml:space="preserve">Label-Lieferanten, die </w:t>
      </w:r>
      <w:r w:rsidR="004D40F1">
        <w:rPr>
          <w:noProof/>
          <w:snapToGrid/>
          <w:sz w:val="22"/>
          <w:szCs w:val="22"/>
        </w:rPr>
        <w:t xml:space="preserve">den </w:t>
      </w:r>
      <w:r w:rsidR="00297C3F" w:rsidRPr="00AE5529">
        <w:rPr>
          <w:noProof/>
          <w:snapToGrid/>
          <w:sz w:val="22"/>
          <w:szCs w:val="22"/>
        </w:rPr>
        <w:t xml:space="preserve"> neuen EMD-Einkaufsrichtlinien</w:t>
      </w:r>
      <w:r w:rsidR="004D40F1">
        <w:rPr>
          <w:noProof/>
          <w:snapToGrid/>
          <w:sz w:val="22"/>
          <w:szCs w:val="22"/>
        </w:rPr>
        <w:t xml:space="preserve"> noch nicht entsprechen</w:t>
      </w:r>
      <w:r w:rsidR="00297C3F" w:rsidRPr="00AE5529">
        <w:rPr>
          <w:noProof/>
          <w:snapToGrid/>
          <w:sz w:val="22"/>
          <w:szCs w:val="22"/>
        </w:rPr>
        <w:t xml:space="preserve">, werden von der internationalen Handelsallianz begleitet und bei der </w:t>
      </w:r>
      <w:r w:rsidR="004D40F1">
        <w:rPr>
          <w:noProof/>
          <w:snapToGrid/>
          <w:sz w:val="22"/>
          <w:szCs w:val="22"/>
        </w:rPr>
        <w:t>Ziele</w:t>
      </w:r>
      <w:r w:rsidR="00297C3F" w:rsidRPr="00AE5529">
        <w:rPr>
          <w:noProof/>
          <w:snapToGrid/>
          <w:sz w:val="22"/>
          <w:szCs w:val="22"/>
        </w:rPr>
        <w:t xml:space="preserve">rreichung unterstützt. </w:t>
      </w:r>
    </w:p>
    <w:p w14:paraId="10F2E990" w14:textId="53058989" w:rsidR="00B52C1A" w:rsidRPr="00AE5529" w:rsidRDefault="005540B3" w:rsidP="00297C3F">
      <w:pPr>
        <w:spacing w:after="120" w:line="319" w:lineRule="auto"/>
        <w:rPr>
          <w:noProof/>
          <w:snapToGrid/>
          <w:sz w:val="22"/>
          <w:szCs w:val="22"/>
        </w:rPr>
      </w:pPr>
      <w:r>
        <w:rPr>
          <w:noProof/>
          <w:snapToGrid/>
          <w:sz w:val="22"/>
          <w:szCs w:val="22"/>
        </w:rPr>
        <w:t xml:space="preserve">Die EMD setzt damit einen weiteren Meilenstein. Der </w:t>
      </w:r>
      <w:r w:rsidR="00CE4BB9">
        <w:rPr>
          <w:noProof/>
          <w:snapToGrid/>
          <w:sz w:val="22"/>
          <w:szCs w:val="22"/>
        </w:rPr>
        <w:t xml:space="preserve">neue </w:t>
      </w:r>
      <w:r>
        <w:rPr>
          <w:noProof/>
          <w:snapToGrid/>
          <w:sz w:val="22"/>
          <w:szCs w:val="22"/>
        </w:rPr>
        <w:t xml:space="preserve">Katalog mit </w:t>
      </w:r>
      <w:r w:rsidR="00297C3F" w:rsidRPr="00AE5529">
        <w:rPr>
          <w:noProof/>
          <w:snapToGrid/>
          <w:sz w:val="22"/>
          <w:szCs w:val="22"/>
        </w:rPr>
        <w:t>Nachhaltigkeitsanforderungen für die Beschaffung von Handelsmarken</w:t>
      </w:r>
      <w:r>
        <w:rPr>
          <w:noProof/>
          <w:snapToGrid/>
          <w:sz w:val="22"/>
          <w:szCs w:val="22"/>
        </w:rPr>
        <w:t xml:space="preserve"> gilt für alle</w:t>
      </w:r>
      <w:r w:rsidR="00297C3F" w:rsidRPr="00AE5529">
        <w:rPr>
          <w:noProof/>
          <w:snapToGrid/>
          <w:sz w:val="22"/>
          <w:szCs w:val="22"/>
        </w:rPr>
        <w:t xml:space="preserve"> </w:t>
      </w:r>
      <w:r w:rsidR="00A51540" w:rsidRPr="00AE5529">
        <w:rPr>
          <w:noProof/>
          <w:snapToGrid/>
          <w:sz w:val="22"/>
          <w:szCs w:val="22"/>
        </w:rPr>
        <w:t xml:space="preserve">gemeinsamen </w:t>
      </w:r>
      <w:r w:rsidR="00736326">
        <w:rPr>
          <w:noProof/>
          <w:snapToGrid/>
          <w:sz w:val="22"/>
          <w:szCs w:val="22"/>
        </w:rPr>
        <w:t>Einkaufs</w:t>
      </w:r>
      <w:r w:rsidR="00A51540" w:rsidRPr="00AE5529">
        <w:rPr>
          <w:noProof/>
          <w:snapToGrid/>
          <w:sz w:val="22"/>
          <w:szCs w:val="22"/>
        </w:rPr>
        <w:t>projekte</w:t>
      </w:r>
      <w:r>
        <w:rPr>
          <w:noProof/>
          <w:snapToGrid/>
          <w:sz w:val="22"/>
          <w:szCs w:val="22"/>
        </w:rPr>
        <w:t xml:space="preserve"> der</w:t>
      </w:r>
      <w:r w:rsidR="00056F68" w:rsidRPr="00AE5529">
        <w:rPr>
          <w:noProof/>
          <w:snapToGrid/>
          <w:sz w:val="22"/>
          <w:szCs w:val="22"/>
        </w:rPr>
        <w:t xml:space="preserve"> internationale</w:t>
      </w:r>
      <w:r>
        <w:rPr>
          <w:noProof/>
          <w:snapToGrid/>
          <w:sz w:val="22"/>
          <w:szCs w:val="22"/>
        </w:rPr>
        <w:t>n</w:t>
      </w:r>
      <w:r w:rsidR="00056F68" w:rsidRPr="00AE5529">
        <w:rPr>
          <w:noProof/>
          <w:snapToGrid/>
          <w:sz w:val="22"/>
          <w:szCs w:val="22"/>
        </w:rPr>
        <w:t xml:space="preserve"> Handelsallianz</w:t>
      </w:r>
      <w:r w:rsidR="00297C3F" w:rsidRPr="00AE5529">
        <w:rPr>
          <w:noProof/>
          <w:snapToGrid/>
          <w:sz w:val="22"/>
          <w:szCs w:val="22"/>
        </w:rPr>
        <w:t xml:space="preserve">. </w:t>
      </w:r>
      <w:r w:rsidR="00CE4BB9">
        <w:rPr>
          <w:noProof/>
          <w:snapToGrid/>
          <w:sz w:val="22"/>
          <w:szCs w:val="22"/>
        </w:rPr>
        <w:t xml:space="preserve">Mit dem </w:t>
      </w:r>
      <w:r w:rsidR="00297C3F" w:rsidRPr="00AE5529">
        <w:rPr>
          <w:noProof/>
          <w:snapToGrid/>
          <w:sz w:val="22"/>
          <w:szCs w:val="22"/>
        </w:rPr>
        <w:t>SOURCING CODE OF CONDUCT untermauer</w:t>
      </w:r>
      <w:r w:rsidR="00CE4BB9">
        <w:rPr>
          <w:noProof/>
          <w:snapToGrid/>
          <w:sz w:val="22"/>
          <w:szCs w:val="22"/>
        </w:rPr>
        <w:t>n</w:t>
      </w:r>
      <w:r w:rsidR="00297C3F" w:rsidRPr="00AE5529">
        <w:rPr>
          <w:noProof/>
          <w:snapToGrid/>
          <w:sz w:val="22"/>
          <w:szCs w:val="22"/>
        </w:rPr>
        <w:t xml:space="preserve"> </w:t>
      </w:r>
      <w:r w:rsidR="00CE4BB9">
        <w:rPr>
          <w:noProof/>
          <w:snapToGrid/>
          <w:sz w:val="22"/>
          <w:szCs w:val="22"/>
        </w:rPr>
        <w:t xml:space="preserve">die </w:t>
      </w:r>
      <w:r w:rsidR="00056F68" w:rsidRPr="00AE5529">
        <w:rPr>
          <w:noProof/>
          <w:snapToGrid/>
          <w:sz w:val="22"/>
          <w:szCs w:val="22"/>
        </w:rPr>
        <w:t xml:space="preserve">EMD </w:t>
      </w:r>
      <w:r w:rsidR="00297C3F" w:rsidRPr="00AE5529">
        <w:rPr>
          <w:noProof/>
          <w:snapToGrid/>
          <w:sz w:val="22"/>
          <w:szCs w:val="22"/>
        </w:rPr>
        <w:t>und ihre Mitgliedsunternehmen</w:t>
      </w:r>
      <w:r w:rsidR="00CE4BB9">
        <w:rPr>
          <w:noProof/>
          <w:snapToGrid/>
          <w:sz w:val="22"/>
          <w:szCs w:val="22"/>
        </w:rPr>
        <w:t xml:space="preserve"> </w:t>
      </w:r>
      <w:r w:rsidR="00CA4AFE">
        <w:rPr>
          <w:noProof/>
          <w:snapToGrid/>
          <w:sz w:val="22"/>
          <w:szCs w:val="22"/>
        </w:rPr>
        <w:t>den Anspruch</w:t>
      </w:r>
      <w:r w:rsidR="00297C3F" w:rsidRPr="00AE5529">
        <w:rPr>
          <w:noProof/>
          <w:snapToGrid/>
          <w:sz w:val="22"/>
          <w:szCs w:val="22"/>
        </w:rPr>
        <w:t xml:space="preserve">, den Verbrauchern in den </w:t>
      </w:r>
      <w:r w:rsidR="00B52C1A" w:rsidRPr="00AE5529">
        <w:rPr>
          <w:noProof/>
          <w:snapToGrid/>
          <w:sz w:val="22"/>
          <w:szCs w:val="22"/>
        </w:rPr>
        <w:t xml:space="preserve">einzelnen Ländern </w:t>
      </w:r>
      <w:r w:rsidR="00CE4BB9">
        <w:rPr>
          <w:noProof/>
          <w:snapToGrid/>
          <w:sz w:val="22"/>
          <w:szCs w:val="22"/>
        </w:rPr>
        <w:t xml:space="preserve">nur </w:t>
      </w:r>
      <w:r w:rsidR="00A51540" w:rsidRPr="00AE5529">
        <w:rPr>
          <w:noProof/>
          <w:snapToGrid/>
          <w:sz w:val="22"/>
          <w:szCs w:val="22"/>
        </w:rPr>
        <w:t xml:space="preserve">nachhaltig </w:t>
      </w:r>
      <w:r w:rsidR="00B52C1A" w:rsidRPr="00AE5529">
        <w:rPr>
          <w:noProof/>
          <w:snapToGrid/>
          <w:sz w:val="22"/>
          <w:szCs w:val="22"/>
        </w:rPr>
        <w:t>produzierte Produkte von herausragender Qualität anzubieten</w:t>
      </w:r>
      <w:r w:rsidR="00297C3F" w:rsidRPr="00AE5529">
        <w:rPr>
          <w:noProof/>
          <w:snapToGrid/>
          <w:sz w:val="22"/>
          <w:szCs w:val="22"/>
        </w:rPr>
        <w:t xml:space="preserve">. Dementsprechend werden in den neuen </w:t>
      </w:r>
      <w:r w:rsidR="00297C3F" w:rsidRPr="00AE5529">
        <w:rPr>
          <w:noProof/>
          <w:snapToGrid/>
          <w:sz w:val="22"/>
          <w:szCs w:val="22"/>
        </w:rPr>
        <w:lastRenderedPageBreak/>
        <w:t xml:space="preserve">Einkaufsrichtlinien die strikte Einhaltung hoher Sozialstandards und das Bekenntnis zu </w:t>
      </w:r>
      <w:r w:rsidR="002B1EBB" w:rsidRPr="00AE5529">
        <w:rPr>
          <w:noProof/>
          <w:snapToGrid/>
          <w:sz w:val="22"/>
          <w:szCs w:val="22"/>
        </w:rPr>
        <w:t xml:space="preserve">anerkannten </w:t>
      </w:r>
      <w:r w:rsidR="001E7F20" w:rsidRPr="00AE5529">
        <w:rPr>
          <w:noProof/>
          <w:snapToGrid/>
          <w:sz w:val="22"/>
          <w:szCs w:val="22"/>
        </w:rPr>
        <w:t xml:space="preserve">Standards der </w:t>
      </w:r>
      <w:r w:rsidR="00297C3F" w:rsidRPr="00AE5529">
        <w:rPr>
          <w:noProof/>
          <w:snapToGrid/>
          <w:sz w:val="22"/>
          <w:szCs w:val="22"/>
        </w:rPr>
        <w:t xml:space="preserve">Lebensmittelsicherheit als unverzichtbar erklärt. </w:t>
      </w:r>
    </w:p>
    <w:p w14:paraId="4AD9B685" w14:textId="4DC34899" w:rsidR="00297C3F" w:rsidRPr="00AE5529" w:rsidRDefault="00297C3F" w:rsidP="00AE5529">
      <w:pPr>
        <w:spacing w:after="120" w:line="319" w:lineRule="auto"/>
        <w:rPr>
          <w:noProof/>
          <w:snapToGrid/>
          <w:sz w:val="22"/>
          <w:szCs w:val="22"/>
        </w:rPr>
      </w:pPr>
      <w:r w:rsidRPr="00AE5529">
        <w:rPr>
          <w:noProof/>
          <w:snapToGrid/>
          <w:sz w:val="22"/>
          <w:szCs w:val="22"/>
        </w:rPr>
        <w:t xml:space="preserve">Um die Lebensmittelsicherheit gemäß der Global Food Safety Initiative zu gewährleisten, werden alle beteiligten Lieferanten sorgfältig </w:t>
      </w:r>
      <w:r w:rsidR="002B1EBB" w:rsidRPr="00AE5529">
        <w:rPr>
          <w:noProof/>
          <w:snapToGrid/>
          <w:sz w:val="22"/>
          <w:szCs w:val="22"/>
        </w:rPr>
        <w:t>überwacht</w:t>
      </w:r>
      <w:r w:rsidRPr="00AE5529">
        <w:rPr>
          <w:noProof/>
          <w:snapToGrid/>
          <w:sz w:val="22"/>
          <w:szCs w:val="22"/>
        </w:rPr>
        <w:t xml:space="preserve">. Im Hinblick auf die sogenannten Risikoländer (Amfori BSCI-Risikoländerklassifizierung) und Risikoproduktkategorien </w:t>
      </w:r>
      <w:r w:rsidR="002B1EBB" w:rsidRPr="00AE5529">
        <w:rPr>
          <w:noProof/>
          <w:snapToGrid/>
          <w:sz w:val="22"/>
          <w:szCs w:val="22"/>
        </w:rPr>
        <w:t xml:space="preserve">bewertet </w:t>
      </w:r>
      <w:r w:rsidR="00656AA4">
        <w:rPr>
          <w:noProof/>
          <w:snapToGrid/>
          <w:sz w:val="22"/>
          <w:szCs w:val="22"/>
        </w:rPr>
        <w:t xml:space="preserve">die </w:t>
      </w:r>
      <w:r w:rsidRPr="00AE5529">
        <w:rPr>
          <w:noProof/>
          <w:snapToGrid/>
          <w:sz w:val="22"/>
          <w:szCs w:val="22"/>
        </w:rPr>
        <w:t>EMD soziale Compliance-Nachweise wie Auditberichte und Zertifikate</w:t>
      </w:r>
      <w:r w:rsidR="002B1EBB" w:rsidRPr="00AE5529">
        <w:rPr>
          <w:noProof/>
          <w:snapToGrid/>
          <w:sz w:val="22"/>
          <w:szCs w:val="22"/>
        </w:rPr>
        <w:t xml:space="preserve">. </w:t>
      </w:r>
    </w:p>
    <w:p w14:paraId="1CAECD14" w14:textId="3B6045FD" w:rsidR="00297C3F" w:rsidRPr="00AE5529" w:rsidRDefault="007F6335" w:rsidP="00297C3F">
      <w:pPr>
        <w:spacing w:after="120" w:line="319" w:lineRule="auto"/>
        <w:rPr>
          <w:noProof/>
          <w:snapToGrid/>
          <w:sz w:val="22"/>
          <w:szCs w:val="22"/>
        </w:rPr>
      </w:pPr>
      <w:r w:rsidRPr="00AE5529">
        <w:rPr>
          <w:noProof/>
          <w:snapToGrid/>
          <w:sz w:val="22"/>
          <w:szCs w:val="22"/>
        </w:rPr>
        <w:t xml:space="preserve">Jedes EMD-Mitglied </w:t>
      </w:r>
      <w:r w:rsidR="00656AA4">
        <w:rPr>
          <w:noProof/>
          <w:snapToGrid/>
          <w:sz w:val="22"/>
          <w:szCs w:val="22"/>
        </w:rPr>
        <w:t xml:space="preserve">kann </w:t>
      </w:r>
      <w:r w:rsidR="00297C3F" w:rsidRPr="00AE5529">
        <w:rPr>
          <w:noProof/>
          <w:snapToGrid/>
          <w:sz w:val="22"/>
          <w:szCs w:val="22"/>
        </w:rPr>
        <w:t xml:space="preserve">bei der Beschaffung von Waren </w:t>
      </w:r>
      <w:r w:rsidR="00656AA4">
        <w:rPr>
          <w:noProof/>
          <w:snapToGrid/>
          <w:sz w:val="22"/>
          <w:szCs w:val="22"/>
        </w:rPr>
        <w:t xml:space="preserve">auch </w:t>
      </w:r>
      <w:r w:rsidR="00297C3F" w:rsidRPr="00AE5529">
        <w:rPr>
          <w:noProof/>
          <w:snapToGrid/>
          <w:sz w:val="22"/>
          <w:szCs w:val="22"/>
        </w:rPr>
        <w:t xml:space="preserve">weiterhin auf </w:t>
      </w:r>
      <w:r w:rsidRPr="00AE5529">
        <w:rPr>
          <w:noProof/>
          <w:snapToGrid/>
          <w:sz w:val="22"/>
          <w:szCs w:val="22"/>
        </w:rPr>
        <w:t xml:space="preserve">seine </w:t>
      </w:r>
      <w:r w:rsidR="00297C3F" w:rsidRPr="00AE5529">
        <w:rPr>
          <w:noProof/>
          <w:snapToGrid/>
          <w:sz w:val="22"/>
          <w:szCs w:val="22"/>
        </w:rPr>
        <w:t>eig</w:t>
      </w:r>
      <w:r w:rsidR="00CE4BB9">
        <w:rPr>
          <w:noProof/>
          <w:snapToGrid/>
          <w:sz w:val="22"/>
          <w:szCs w:val="22"/>
        </w:rPr>
        <w:t xml:space="preserve">enen </w:t>
      </w:r>
      <w:r w:rsidR="00297C3F" w:rsidRPr="00AE5529">
        <w:rPr>
          <w:noProof/>
          <w:snapToGrid/>
          <w:sz w:val="22"/>
          <w:szCs w:val="22"/>
        </w:rPr>
        <w:t xml:space="preserve">Standards </w:t>
      </w:r>
      <w:r w:rsidR="00656AA4">
        <w:rPr>
          <w:noProof/>
          <w:snapToGrid/>
          <w:sz w:val="22"/>
          <w:szCs w:val="22"/>
        </w:rPr>
        <w:t>zurückgreifen</w:t>
      </w:r>
      <w:r w:rsidR="00297C3F" w:rsidRPr="00AE5529">
        <w:rPr>
          <w:noProof/>
          <w:snapToGrid/>
          <w:sz w:val="22"/>
          <w:szCs w:val="22"/>
        </w:rPr>
        <w:t xml:space="preserve">. </w:t>
      </w:r>
      <w:r w:rsidR="00656AA4">
        <w:rPr>
          <w:noProof/>
          <w:snapToGrid/>
          <w:sz w:val="22"/>
          <w:szCs w:val="22"/>
        </w:rPr>
        <w:t xml:space="preserve">Die EMD selbst wird in der zusammenarbeit </w:t>
      </w:r>
      <w:r w:rsidR="00297C3F" w:rsidRPr="00AE5529">
        <w:rPr>
          <w:noProof/>
          <w:snapToGrid/>
          <w:sz w:val="22"/>
          <w:szCs w:val="22"/>
        </w:rPr>
        <w:t xml:space="preserve">mit der Handelsmarkenindustrie </w:t>
      </w:r>
      <w:r w:rsidRPr="00AE5529">
        <w:rPr>
          <w:noProof/>
          <w:snapToGrid/>
          <w:sz w:val="22"/>
          <w:szCs w:val="22"/>
        </w:rPr>
        <w:t>jedoch</w:t>
      </w:r>
      <w:r w:rsidR="00656AA4">
        <w:rPr>
          <w:noProof/>
          <w:snapToGrid/>
          <w:sz w:val="22"/>
          <w:szCs w:val="22"/>
        </w:rPr>
        <w:t xml:space="preserve"> ausschließlich die eigenen, </w:t>
      </w:r>
      <w:r w:rsidR="00297C3F" w:rsidRPr="00AE5529">
        <w:rPr>
          <w:noProof/>
          <w:snapToGrid/>
          <w:sz w:val="22"/>
          <w:szCs w:val="22"/>
        </w:rPr>
        <w:t xml:space="preserve">im SOURCING CODE OF CONDUCT festgelegten </w:t>
      </w:r>
      <w:r w:rsidR="002B1EBB" w:rsidRPr="00AE5529">
        <w:rPr>
          <w:noProof/>
          <w:snapToGrid/>
          <w:sz w:val="22"/>
          <w:szCs w:val="22"/>
        </w:rPr>
        <w:t xml:space="preserve">Richtlinien </w:t>
      </w:r>
      <w:r w:rsidR="00297C3F" w:rsidRPr="00AE5529">
        <w:rPr>
          <w:noProof/>
          <w:snapToGrid/>
          <w:sz w:val="22"/>
          <w:szCs w:val="22"/>
        </w:rPr>
        <w:t>akzeptieren.</w:t>
      </w:r>
    </w:p>
    <w:p w14:paraId="32D1D362" w14:textId="09F38CE5" w:rsidR="00A30359" w:rsidRPr="00AE5529" w:rsidRDefault="00297C3F" w:rsidP="00297C3F">
      <w:pPr>
        <w:spacing w:after="120" w:line="319" w:lineRule="auto"/>
        <w:rPr>
          <w:noProof/>
          <w:snapToGrid/>
          <w:sz w:val="22"/>
          <w:szCs w:val="22"/>
        </w:rPr>
      </w:pPr>
      <w:r w:rsidRPr="00AE5529">
        <w:rPr>
          <w:noProof/>
          <w:snapToGrid/>
          <w:sz w:val="22"/>
          <w:szCs w:val="22"/>
        </w:rPr>
        <w:t xml:space="preserve">Darüber hinaus </w:t>
      </w:r>
      <w:r w:rsidR="00B20FE4">
        <w:rPr>
          <w:noProof/>
          <w:snapToGrid/>
          <w:sz w:val="22"/>
          <w:szCs w:val="22"/>
        </w:rPr>
        <w:t xml:space="preserve">bietet die EMD allen </w:t>
      </w:r>
      <w:r w:rsidR="00C54F14" w:rsidRPr="00AE5529">
        <w:rPr>
          <w:noProof/>
          <w:snapToGrid/>
          <w:sz w:val="22"/>
          <w:szCs w:val="22"/>
        </w:rPr>
        <w:t xml:space="preserve">A-Brand-Lieferanten </w:t>
      </w:r>
      <w:r w:rsidR="00B20FE4">
        <w:rPr>
          <w:noProof/>
          <w:snapToGrid/>
          <w:sz w:val="22"/>
          <w:szCs w:val="22"/>
        </w:rPr>
        <w:t xml:space="preserve">die Zusammenarbeit </w:t>
      </w:r>
      <w:r w:rsidRPr="00AE5529">
        <w:rPr>
          <w:noProof/>
          <w:snapToGrid/>
          <w:sz w:val="22"/>
          <w:szCs w:val="22"/>
        </w:rPr>
        <w:t xml:space="preserve"> </w:t>
      </w:r>
      <w:r w:rsidR="00B20FE4">
        <w:rPr>
          <w:noProof/>
          <w:snapToGrid/>
          <w:sz w:val="22"/>
          <w:szCs w:val="22"/>
        </w:rPr>
        <w:t xml:space="preserve">bei deren  internationalen </w:t>
      </w:r>
      <w:r w:rsidRPr="00AE5529">
        <w:rPr>
          <w:noProof/>
          <w:snapToGrid/>
          <w:sz w:val="22"/>
          <w:szCs w:val="22"/>
        </w:rPr>
        <w:t>Nachhaltigkeitsinitiativen</w:t>
      </w:r>
      <w:r w:rsidR="00B20FE4">
        <w:rPr>
          <w:noProof/>
          <w:snapToGrid/>
          <w:sz w:val="22"/>
          <w:szCs w:val="22"/>
        </w:rPr>
        <w:t xml:space="preserve"> an.</w:t>
      </w:r>
      <w:r w:rsidRPr="00AE5529">
        <w:rPr>
          <w:noProof/>
          <w:snapToGrid/>
          <w:sz w:val="22"/>
          <w:szCs w:val="22"/>
        </w:rPr>
        <w:t xml:space="preserve">  Die EMD begrüßt jeden Vorschlag, der im Einklang mit den Richtlinien und Möglichkeiten der einzelnen EMD-Mitglieder steht.</w:t>
      </w:r>
    </w:p>
    <w:p w14:paraId="12CB7655" w14:textId="77777777" w:rsidR="00C54F14" w:rsidRPr="00AE5529" w:rsidRDefault="00C54F14" w:rsidP="00E60253">
      <w:pPr>
        <w:spacing w:after="120" w:line="319" w:lineRule="auto"/>
        <w:rPr>
          <w:b/>
          <w:sz w:val="22"/>
          <w:szCs w:val="22"/>
        </w:rPr>
      </w:pPr>
    </w:p>
    <w:p w14:paraId="025D385F" w14:textId="6F545EF3" w:rsidR="002B2791" w:rsidRPr="00AE5529" w:rsidRDefault="00C67AB7" w:rsidP="00E60253">
      <w:pPr>
        <w:spacing w:after="120" w:line="319" w:lineRule="auto"/>
        <w:rPr>
          <w:b/>
          <w:sz w:val="22"/>
          <w:szCs w:val="22"/>
        </w:rPr>
      </w:pPr>
      <w:r w:rsidRPr="00AE5529">
        <w:rPr>
          <w:b/>
          <w:sz w:val="22"/>
          <w:szCs w:val="22"/>
        </w:rPr>
        <w:t xml:space="preserve">Über </w:t>
      </w:r>
      <w:r w:rsidR="002B2791" w:rsidRPr="00AE5529">
        <w:rPr>
          <w:b/>
          <w:sz w:val="22"/>
          <w:szCs w:val="22"/>
        </w:rPr>
        <w:t xml:space="preserve">EMD </w:t>
      </w:r>
    </w:p>
    <w:p w14:paraId="14AF520B" w14:textId="3B21BC48" w:rsidR="00A30359" w:rsidRPr="00AE5529" w:rsidRDefault="00C67AB7" w:rsidP="00A30359">
      <w:pPr>
        <w:spacing w:after="120" w:line="319" w:lineRule="auto"/>
        <w:rPr>
          <w:sz w:val="22"/>
          <w:szCs w:val="22"/>
        </w:rPr>
      </w:pPr>
      <w:r w:rsidRPr="00AE5529">
        <w:rPr>
          <w:sz w:val="22"/>
          <w:szCs w:val="22"/>
        </w:rPr>
        <w:t xml:space="preserve">Die European Marketing Distribution </w:t>
      </w:r>
      <w:r w:rsidR="004D57B2" w:rsidRPr="00AE5529">
        <w:rPr>
          <w:sz w:val="22"/>
          <w:szCs w:val="22"/>
        </w:rPr>
        <w:t xml:space="preserve">AG </w:t>
      </w:r>
      <w:r w:rsidRPr="00AE5529">
        <w:rPr>
          <w:sz w:val="22"/>
          <w:szCs w:val="22"/>
        </w:rPr>
        <w:t xml:space="preserve">mit Hauptsitz in Pfäffikon, Schweiz, ist seit 1989 als effizienter und leistungsstarker Partner für Fast Moving Consumer </w:t>
      </w:r>
      <w:proofErr w:type="spellStart"/>
      <w:r w:rsidRPr="00AE5529">
        <w:rPr>
          <w:sz w:val="22"/>
          <w:szCs w:val="22"/>
        </w:rPr>
        <w:t>Goods</w:t>
      </w:r>
      <w:proofErr w:type="spellEnd"/>
      <w:r w:rsidRPr="00AE5529">
        <w:rPr>
          <w:sz w:val="22"/>
          <w:szCs w:val="22"/>
        </w:rPr>
        <w:t xml:space="preserve"> (FMCG) in der Konsumgüterindustrie anerkannt. Die führende Verbundgruppe ist heute mit ihren Mitgliedsunternehmen in 20 Ländern in Europa, Ozeanien und Asien </w:t>
      </w:r>
      <w:r w:rsidR="00CE4BB9">
        <w:rPr>
          <w:sz w:val="22"/>
          <w:szCs w:val="22"/>
        </w:rPr>
        <w:t>tätig</w:t>
      </w:r>
      <w:r w:rsidRPr="00AE5529">
        <w:rPr>
          <w:sz w:val="22"/>
          <w:szCs w:val="22"/>
        </w:rPr>
        <w:t xml:space="preserve">. </w:t>
      </w:r>
    </w:p>
    <w:p w14:paraId="3E203059" w14:textId="77777777" w:rsidR="00C54F14" w:rsidRPr="00AE5529" w:rsidRDefault="00C54F14" w:rsidP="00C67AB7">
      <w:pPr>
        <w:rPr>
          <w:b/>
          <w:bCs/>
          <w:sz w:val="22"/>
          <w:szCs w:val="22"/>
        </w:rPr>
      </w:pPr>
    </w:p>
    <w:p w14:paraId="27D88A9C" w14:textId="77777777" w:rsidR="00AE5529" w:rsidRPr="002E730A" w:rsidRDefault="00AE5529" w:rsidP="00AE5529">
      <w:pPr>
        <w:rPr>
          <w:b/>
          <w:bCs/>
          <w:sz w:val="22"/>
          <w:szCs w:val="22"/>
        </w:rPr>
      </w:pPr>
      <w:r w:rsidRPr="002E730A">
        <w:rPr>
          <w:b/>
          <w:bCs/>
          <w:sz w:val="22"/>
          <w:szCs w:val="22"/>
        </w:rPr>
        <w:t>Die Mitgliedsunternehmen der European Marketing Distribution (EMD) sind in den folgenden Märkten aktiv: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AE5529" w14:paraId="21AE9EAF" w14:textId="77777777" w:rsidTr="00ED52DF">
        <w:tc>
          <w:tcPr>
            <w:tcW w:w="4814" w:type="dxa"/>
          </w:tcPr>
          <w:p w14:paraId="394A3E64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Australien: Woolworths </w:t>
            </w:r>
          </w:p>
        </w:tc>
        <w:tc>
          <w:tcPr>
            <w:tcW w:w="4815" w:type="dxa"/>
          </w:tcPr>
          <w:p w14:paraId="70485340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Polen: Kaufland </w:t>
            </w:r>
          </w:p>
        </w:tc>
      </w:tr>
      <w:tr w:rsidR="00AE5529" w14:paraId="64DF27C8" w14:textId="77777777" w:rsidTr="00ED52DF">
        <w:tc>
          <w:tcPr>
            <w:tcW w:w="4814" w:type="dxa"/>
          </w:tcPr>
          <w:p w14:paraId="430A70B9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>Bulgarien: Kaufland</w:t>
            </w:r>
          </w:p>
        </w:tc>
        <w:tc>
          <w:tcPr>
            <w:tcW w:w="4815" w:type="dxa"/>
          </w:tcPr>
          <w:p w14:paraId="0293382F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Portugal: EuromadiPort </w:t>
            </w:r>
          </w:p>
        </w:tc>
      </w:tr>
      <w:tr w:rsidR="00AE5529" w14:paraId="44605B4A" w14:textId="77777777" w:rsidTr="00ED52DF">
        <w:tc>
          <w:tcPr>
            <w:tcW w:w="4814" w:type="dxa"/>
          </w:tcPr>
          <w:p w14:paraId="60061326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Dänemark: Dagrofa      </w:t>
            </w:r>
          </w:p>
        </w:tc>
        <w:tc>
          <w:tcPr>
            <w:tcW w:w="4815" w:type="dxa"/>
          </w:tcPr>
          <w:p w14:paraId="6419946F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Rumänien: Kaufland </w:t>
            </w:r>
          </w:p>
        </w:tc>
      </w:tr>
      <w:tr w:rsidR="00AE5529" w14:paraId="62B6B5D2" w14:textId="77777777" w:rsidTr="00ED52DF">
        <w:tc>
          <w:tcPr>
            <w:tcW w:w="4814" w:type="dxa"/>
          </w:tcPr>
          <w:p w14:paraId="3F9AEE1D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Deutschland: </w:t>
            </w:r>
            <w:r w:rsidRPr="00B422CE">
              <w:rPr>
                <w:sz w:val="20"/>
                <w:szCs w:val="20"/>
              </w:rPr>
              <w:t>MARKANT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14:paraId="35ADAC45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>Russland: Lenta</w:t>
            </w:r>
          </w:p>
        </w:tc>
      </w:tr>
      <w:tr w:rsidR="00AE5529" w14:paraId="66852442" w14:textId="77777777" w:rsidTr="00ED52DF">
        <w:tc>
          <w:tcPr>
            <w:tcW w:w="4814" w:type="dxa"/>
          </w:tcPr>
          <w:p w14:paraId="166A2291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>Italien: ESD-Itali</w:t>
            </w:r>
            <w:r>
              <w:rPr>
                <w:sz w:val="20"/>
                <w:szCs w:val="20"/>
              </w:rPr>
              <w:t>a</w:t>
            </w:r>
            <w:r w:rsidRPr="009B5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14:paraId="00BCD006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>Schweden: Axfood</w:t>
            </w:r>
          </w:p>
        </w:tc>
      </w:tr>
      <w:tr w:rsidR="00AE5529" w14:paraId="290B897F" w14:textId="77777777" w:rsidTr="00ED52DF">
        <w:tc>
          <w:tcPr>
            <w:tcW w:w="4814" w:type="dxa"/>
          </w:tcPr>
          <w:p w14:paraId="1CCCED05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Kroatien: Kaufland </w:t>
            </w:r>
          </w:p>
        </w:tc>
        <w:tc>
          <w:tcPr>
            <w:tcW w:w="4815" w:type="dxa"/>
          </w:tcPr>
          <w:p w14:paraId="7CAD8D1D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Schweiz: </w:t>
            </w:r>
            <w:r w:rsidRPr="00FA3117">
              <w:rPr>
                <w:rFonts w:eastAsia="Verdana"/>
                <w:color w:val="0D0D0D"/>
                <w:sz w:val="20"/>
                <w:szCs w:val="20"/>
                <w:lang w:val="en-GB"/>
              </w:rPr>
              <w:t>MARKANT</w:t>
            </w:r>
          </w:p>
        </w:tc>
      </w:tr>
      <w:tr w:rsidR="00AE5529" w14:paraId="2B85AFE1" w14:textId="77777777" w:rsidTr="00ED52DF">
        <w:tc>
          <w:tcPr>
            <w:tcW w:w="4814" w:type="dxa"/>
          </w:tcPr>
          <w:p w14:paraId="3AA69FA2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>Neuseeland: Countdown (Woolworths)</w:t>
            </w:r>
          </w:p>
        </w:tc>
        <w:tc>
          <w:tcPr>
            <w:tcW w:w="4815" w:type="dxa"/>
          </w:tcPr>
          <w:p w14:paraId="2546E32B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Slowakei: </w:t>
            </w:r>
            <w:r w:rsidRPr="00FA3117">
              <w:rPr>
                <w:rFonts w:eastAsia="Verdana"/>
                <w:color w:val="0D0D0D"/>
                <w:sz w:val="20"/>
                <w:szCs w:val="20"/>
                <w:lang w:val="en-GB"/>
              </w:rPr>
              <w:t>MARKANT</w:t>
            </w:r>
          </w:p>
        </w:tc>
      </w:tr>
      <w:tr w:rsidR="00AE5529" w14:paraId="4D0A859E" w14:textId="77777777" w:rsidTr="00ED52DF">
        <w:tc>
          <w:tcPr>
            <w:tcW w:w="4814" w:type="dxa"/>
          </w:tcPr>
          <w:p w14:paraId="42B91A9D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Niederlande: Superunie </w:t>
            </w:r>
          </w:p>
        </w:tc>
        <w:tc>
          <w:tcPr>
            <w:tcW w:w="4815" w:type="dxa"/>
          </w:tcPr>
          <w:p w14:paraId="523EC4A3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Spanien: Euromadi </w:t>
            </w:r>
          </w:p>
        </w:tc>
      </w:tr>
      <w:tr w:rsidR="00AE5529" w14:paraId="6D16BF76" w14:textId="77777777" w:rsidTr="00ED52DF">
        <w:tc>
          <w:tcPr>
            <w:tcW w:w="4814" w:type="dxa"/>
          </w:tcPr>
          <w:p w14:paraId="27B4E786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Norwegen: </w:t>
            </w:r>
            <w:proofErr w:type="spellStart"/>
            <w:r w:rsidRPr="009B5773">
              <w:rPr>
                <w:sz w:val="20"/>
                <w:szCs w:val="20"/>
              </w:rPr>
              <w:t>Unil</w:t>
            </w:r>
            <w:proofErr w:type="spellEnd"/>
            <w:r w:rsidRPr="009B5773">
              <w:rPr>
                <w:sz w:val="20"/>
                <w:szCs w:val="20"/>
              </w:rPr>
              <w:t>/</w:t>
            </w:r>
            <w:proofErr w:type="spellStart"/>
            <w:r w:rsidRPr="009B5773">
              <w:rPr>
                <w:sz w:val="20"/>
                <w:szCs w:val="20"/>
              </w:rPr>
              <w:t>Norges</w:t>
            </w:r>
            <w:r>
              <w:rPr>
                <w:sz w:val="20"/>
                <w:szCs w:val="20"/>
              </w:rPr>
              <w:t>G</w:t>
            </w:r>
            <w:r w:rsidRPr="009B5773">
              <w:rPr>
                <w:sz w:val="20"/>
                <w:szCs w:val="20"/>
              </w:rPr>
              <w:t>ruppen</w:t>
            </w:r>
            <w:proofErr w:type="spellEnd"/>
            <w:r w:rsidRPr="009B577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815" w:type="dxa"/>
          </w:tcPr>
          <w:p w14:paraId="6222D373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Südkorea: Homeplus </w:t>
            </w:r>
          </w:p>
        </w:tc>
      </w:tr>
      <w:tr w:rsidR="00AE5529" w14:paraId="16884265" w14:textId="77777777" w:rsidTr="00ED52DF">
        <w:tc>
          <w:tcPr>
            <w:tcW w:w="4814" w:type="dxa"/>
          </w:tcPr>
          <w:p w14:paraId="1CBC0629" w14:textId="77777777" w:rsidR="00AE5529" w:rsidRDefault="00AE5529" w:rsidP="00ED52DF">
            <w:pPr>
              <w:rPr>
                <w:sz w:val="20"/>
                <w:szCs w:val="20"/>
              </w:rPr>
            </w:pPr>
            <w:r w:rsidRPr="009B5773">
              <w:rPr>
                <w:sz w:val="20"/>
                <w:szCs w:val="20"/>
              </w:rPr>
              <w:t xml:space="preserve">Österreich: </w:t>
            </w:r>
            <w:r w:rsidRPr="00FA3117">
              <w:rPr>
                <w:rFonts w:eastAsia="Verdana"/>
                <w:color w:val="0D0D0D"/>
                <w:sz w:val="20"/>
                <w:szCs w:val="20"/>
                <w:lang w:val="en-GB"/>
              </w:rPr>
              <w:t>MARKANT</w:t>
            </w:r>
            <w:r>
              <w:rPr>
                <w:rFonts w:eastAsia="Verdana"/>
                <w:color w:val="0D0D0D"/>
                <w:sz w:val="20"/>
                <w:szCs w:val="20"/>
                <w:lang w:val="en-GB"/>
              </w:rPr>
              <w:t xml:space="preserve"> </w:t>
            </w:r>
            <w:r w:rsidRPr="00FA3117">
              <w:rPr>
                <w:rFonts w:eastAsia="Verdana"/>
                <w:color w:val="0D0D0D"/>
                <w:sz w:val="20"/>
                <w:szCs w:val="20"/>
                <w:lang w:val="en-GB"/>
              </w:rPr>
              <w:t>Österreich</w:t>
            </w:r>
          </w:p>
        </w:tc>
        <w:tc>
          <w:tcPr>
            <w:tcW w:w="4815" w:type="dxa"/>
          </w:tcPr>
          <w:p w14:paraId="744502C5" w14:textId="77777777" w:rsidR="00AE5529" w:rsidRDefault="00AE5529" w:rsidP="00ED52DF">
            <w:pPr>
              <w:rPr>
                <w:sz w:val="20"/>
                <w:szCs w:val="20"/>
              </w:rPr>
            </w:pPr>
            <w:r w:rsidRPr="00475F0C">
              <w:rPr>
                <w:sz w:val="20"/>
                <w:szCs w:val="20"/>
              </w:rPr>
              <w:t xml:space="preserve">Tschechische Republik: </w:t>
            </w:r>
            <w:r w:rsidRPr="00FA3117">
              <w:rPr>
                <w:rFonts w:eastAsia="Verdana"/>
                <w:color w:val="0D0D0D"/>
                <w:sz w:val="20"/>
                <w:szCs w:val="20"/>
                <w:lang w:val="en-GB"/>
              </w:rPr>
              <w:t>MARKANT</w:t>
            </w:r>
          </w:p>
        </w:tc>
      </w:tr>
    </w:tbl>
    <w:p w14:paraId="34CDA8D3" w14:textId="2D2CA8CA" w:rsidR="00B52C1A" w:rsidRDefault="00B52C1A" w:rsidP="002B2791">
      <w:pPr>
        <w:rPr>
          <w:b/>
          <w:bCs/>
          <w:sz w:val="20"/>
          <w:szCs w:val="20"/>
          <w:u w:val="single"/>
          <w:lang w:val="en-GB"/>
        </w:rPr>
      </w:pPr>
    </w:p>
    <w:p w14:paraId="255423ED" w14:textId="77777777" w:rsidR="00B52C1A" w:rsidRDefault="00B52C1A">
      <w:pPr>
        <w:spacing w:line="240" w:lineRule="auto"/>
        <w:jc w:val="left"/>
        <w:rPr>
          <w:b/>
          <w:bCs/>
          <w:sz w:val="20"/>
          <w:szCs w:val="20"/>
          <w:u w:val="single"/>
          <w:lang w:val="en-GB"/>
        </w:rPr>
      </w:pPr>
      <w:r>
        <w:rPr>
          <w:b/>
          <w:bCs/>
          <w:sz w:val="20"/>
          <w:szCs w:val="20"/>
          <w:u w:val="single"/>
          <w:lang w:val="en-GB"/>
        </w:rPr>
        <w:br w:type="page"/>
      </w:r>
    </w:p>
    <w:p w14:paraId="6852023C" w14:textId="77777777" w:rsidR="00A30359" w:rsidRPr="00FA3117" w:rsidRDefault="00A30359" w:rsidP="002B2791">
      <w:pPr>
        <w:rPr>
          <w:b/>
          <w:bCs/>
          <w:sz w:val="20"/>
          <w:szCs w:val="20"/>
          <w:u w:val="single"/>
          <w:lang w:val="en-GB"/>
        </w:rPr>
      </w:pPr>
    </w:p>
    <w:p w14:paraId="6E5E791B" w14:textId="2BD3C5EA" w:rsidR="002B2791" w:rsidRPr="00450725" w:rsidRDefault="00450725" w:rsidP="002B2791">
      <w:pPr>
        <w:rPr>
          <w:b/>
          <w:bCs/>
          <w:sz w:val="22"/>
          <w:szCs w:val="22"/>
          <w:u w:val="single"/>
          <w:lang w:val="en-GB"/>
        </w:rPr>
      </w:pPr>
      <w:proofErr w:type="spellStart"/>
      <w:r w:rsidRPr="00450725">
        <w:rPr>
          <w:b/>
          <w:bCs/>
          <w:sz w:val="22"/>
          <w:szCs w:val="22"/>
          <w:u w:val="single"/>
          <w:lang w:val="en-GB"/>
        </w:rPr>
        <w:t>Für</w:t>
      </w:r>
      <w:proofErr w:type="spellEnd"/>
      <w:r w:rsidRPr="00450725">
        <w:rPr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450725">
        <w:rPr>
          <w:b/>
          <w:bCs/>
          <w:sz w:val="22"/>
          <w:szCs w:val="22"/>
          <w:u w:val="single"/>
          <w:lang w:val="en-GB"/>
        </w:rPr>
        <w:t>weitere</w:t>
      </w:r>
      <w:proofErr w:type="spellEnd"/>
      <w:r w:rsidRPr="00450725">
        <w:rPr>
          <w:b/>
          <w:bCs/>
          <w:sz w:val="22"/>
          <w:szCs w:val="22"/>
          <w:u w:val="single"/>
          <w:lang w:val="en-GB"/>
        </w:rPr>
        <w:t xml:space="preserve"> </w:t>
      </w:r>
      <w:proofErr w:type="spellStart"/>
      <w:r w:rsidRPr="00450725">
        <w:rPr>
          <w:b/>
          <w:bCs/>
          <w:sz w:val="22"/>
          <w:szCs w:val="22"/>
          <w:u w:val="single"/>
          <w:lang w:val="en-GB"/>
        </w:rPr>
        <w:t>Informationen</w:t>
      </w:r>
      <w:proofErr w:type="spellEnd"/>
      <w:r w:rsidR="002B2791" w:rsidRPr="00450725">
        <w:rPr>
          <w:b/>
          <w:bCs/>
          <w:sz w:val="22"/>
          <w:szCs w:val="22"/>
          <w:u w:val="single"/>
          <w:lang w:val="en-GB"/>
        </w:rPr>
        <w:t>:</w:t>
      </w:r>
    </w:p>
    <w:p w14:paraId="12F269C9" w14:textId="77777777" w:rsidR="00506C3D" w:rsidRPr="007877A2" w:rsidRDefault="00506C3D" w:rsidP="00506C3D">
      <w:pPr>
        <w:tabs>
          <w:tab w:val="left" w:pos="3969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Donati </w:t>
      </w:r>
      <w:r w:rsidRPr="007877A2">
        <w:rPr>
          <w:b/>
          <w:bCs/>
          <w:sz w:val="22"/>
          <w:szCs w:val="22"/>
        </w:rPr>
        <w:t>&amp; Rosmanith</w:t>
      </w:r>
    </w:p>
    <w:p w14:paraId="78D10E1F" w14:textId="18767EDA" w:rsidR="00506C3D" w:rsidRPr="007877A2" w:rsidRDefault="00AE5529" w:rsidP="00506C3D">
      <w:pPr>
        <w:tabs>
          <w:tab w:val="left" w:pos="3969"/>
        </w:tabs>
        <w:rPr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Better</w:t>
      </w:r>
      <w:proofErr w:type="spellEnd"/>
      <w:r>
        <w:rPr>
          <w:b/>
          <w:bCs/>
          <w:sz w:val="22"/>
          <w:szCs w:val="22"/>
        </w:rPr>
        <w:t xml:space="preserve"> Communications</w:t>
      </w:r>
    </w:p>
    <w:p w14:paraId="0717ADC2" w14:textId="77777777" w:rsidR="00506C3D" w:rsidRPr="007877A2" w:rsidRDefault="00506C3D" w:rsidP="00506C3D">
      <w:pPr>
        <w:spacing w:line="240" w:lineRule="auto"/>
        <w:rPr>
          <w:sz w:val="22"/>
          <w:szCs w:val="22"/>
        </w:rPr>
      </w:pPr>
      <w:r w:rsidRPr="007877A2">
        <w:rPr>
          <w:sz w:val="22"/>
          <w:szCs w:val="22"/>
        </w:rPr>
        <w:t>Uwe Rosmanith</w:t>
      </w:r>
    </w:p>
    <w:p w14:paraId="32718D92" w14:textId="77777777" w:rsidR="00506C3D" w:rsidRPr="007877A2" w:rsidRDefault="00506C3D" w:rsidP="00506C3D">
      <w:pPr>
        <w:spacing w:line="240" w:lineRule="auto"/>
        <w:rPr>
          <w:sz w:val="22"/>
          <w:szCs w:val="22"/>
        </w:rPr>
      </w:pPr>
      <w:proofErr w:type="spellStart"/>
      <w:r>
        <w:rPr>
          <w:iCs/>
          <w:sz w:val="22"/>
          <w:szCs w:val="22"/>
        </w:rPr>
        <w:t>Triq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>
        <w:rPr>
          <w:iCs/>
          <w:sz w:val="22"/>
          <w:szCs w:val="22"/>
        </w:rPr>
        <w:t>ir-Rumani</w:t>
      </w:r>
      <w:proofErr w:type="spellEnd"/>
      <w:r>
        <w:rPr>
          <w:iCs/>
          <w:sz w:val="22"/>
          <w:szCs w:val="22"/>
        </w:rPr>
        <w:t>, 3</w:t>
      </w:r>
    </w:p>
    <w:p w14:paraId="4950E651" w14:textId="77777777" w:rsidR="00506C3D" w:rsidRDefault="00506C3D" w:rsidP="00506C3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Xlendi, XLN1431 </w:t>
      </w:r>
    </w:p>
    <w:p w14:paraId="3FA087D2" w14:textId="77777777" w:rsidR="00506C3D" w:rsidRPr="007877A2" w:rsidRDefault="00506C3D" w:rsidP="00506C3D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Malta</w:t>
      </w:r>
    </w:p>
    <w:p w14:paraId="0C874754" w14:textId="77777777" w:rsidR="00506C3D" w:rsidRPr="007877A2" w:rsidRDefault="00506C3D" w:rsidP="00506C3D">
      <w:pPr>
        <w:tabs>
          <w:tab w:val="left" w:pos="3969"/>
        </w:tabs>
        <w:spacing w:line="240" w:lineRule="auto"/>
        <w:rPr>
          <w:sz w:val="22"/>
          <w:szCs w:val="22"/>
        </w:rPr>
      </w:pPr>
      <w:r w:rsidRPr="007877A2">
        <w:rPr>
          <w:sz w:val="22"/>
          <w:szCs w:val="22"/>
        </w:rPr>
        <w:t xml:space="preserve">Telefon: </w:t>
      </w:r>
      <w:r w:rsidRPr="00EC41D3">
        <w:rPr>
          <w:sz w:val="22"/>
          <w:szCs w:val="22"/>
        </w:rPr>
        <w:t>+49 171 9706644</w:t>
      </w:r>
    </w:p>
    <w:p w14:paraId="3CC8124B" w14:textId="21FB9C5C" w:rsidR="00506C3D" w:rsidRPr="007877A2" w:rsidRDefault="00506C3D" w:rsidP="00506C3D">
      <w:pPr>
        <w:spacing w:line="240" w:lineRule="auto"/>
        <w:rPr>
          <w:sz w:val="22"/>
          <w:szCs w:val="22"/>
        </w:rPr>
      </w:pPr>
      <w:r w:rsidRPr="007877A2">
        <w:rPr>
          <w:sz w:val="22"/>
          <w:szCs w:val="22"/>
        </w:rPr>
        <w:t>rosmanith</w:t>
      </w:r>
      <w:r w:rsidR="002F352D">
        <w:rPr>
          <w:sz w:val="22"/>
          <w:szCs w:val="22"/>
        </w:rPr>
        <w:t>@bettercommunications.mt</w:t>
      </w:r>
    </w:p>
    <w:p w14:paraId="1CE58498" w14:textId="061C9E52" w:rsidR="003759B4" w:rsidRPr="00FA3117" w:rsidRDefault="003759B4" w:rsidP="00506C3D">
      <w:pPr>
        <w:tabs>
          <w:tab w:val="left" w:pos="3969"/>
        </w:tabs>
        <w:rPr>
          <w:sz w:val="22"/>
          <w:szCs w:val="22"/>
        </w:rPr>
      </w:pPr>
    </w:p>
    <w:sectPr w:rsidR="003759B4" w:rsidRPr="00FA3117" w:rsidSect="00256122">
      <w:headerReference w:type="default" r:id="rId9"/>
      <w:headerReference w:type="first" r:id="rId10"/>
      <w:pgSz w:w="11907" w:h="16840" w:code="9"/>
      <w:pgMar w:top="1985" w:right="1134" w:bottom="1077" w:left="1134" w:header="851" w:footer="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B2852" w14:textId="77777777" w:rsidR="003F0A3E" w:rsidRDefault="003F0A3E">
      <w:r>
        <w:separator/>
      </w:r>
    </w:p>
  </w:endnote>
  <w:endnote w:type="continuationSeparator" w:id="0">
    <w:p w14:paraId="5C4BA65E" w14:textId="77777777" w:rsidR="003F0A3E" w:rsidRDefault="003F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A29944" w14:textId="77777777" w:rsidR="003F0A3E" w:rsidRDefault="003F0A3E">
      <w:r>
        <w:separator/>
      </w:r>
    </w:p>
  </w:footnote>
  <w:footnote w:type="continuationSeparator" w:id="0">
    <w:p w14:paraId="3B9097BA" w14:textId="77777777" w:rsidR="003F0A3E" w:rsidRDefault="003F0A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BBBC" w14:textId="77777777" w:rsidR="00F349F7" w:rsidRDefault="00F349F7">
    <w:pPr>
      <w:jc w:val="righ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D73E6" w14:textId="77777777" w:rsidR="00F349F7" w:rsidRDefault="001737FA">
    <w:pPr>
      <w:pStyle w:val="Header"/>
      <w:jc w:val="left"/>
    </w:pPr>
    <w:r w:rsidRPr="008F5307">
      <w:rPr>
        <w:noProof/>
        <w:snapToGrid/>
      </w:rPr>
      <w:drawing>
        <wp:inline distT="0" distB="0" distL="0" distR="0" wp14:anchorId="0ED56BD4" wp14:editId="2C966282">
          <wp:extent cx="850900" cy="660400"/>
          <wp:effectExtent l="0" t="0" r="0" b="0"/>
          <wp:docPr id="1" name="Bild 1" descr="emd_logo_cmy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d_logo_cmy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349F7">
      <w:tab/>
    </w:r>
    <w:r w:rsidR="00F349F7">
      <w:tab/>
    </w:r>
  </w:p>
  <w:p w14:paraId="18A42B6E" w14:textId="77777777" w:rsidR="00F349F7" w:rsidRPr="00DE0860" w:rsidRDefault="00F349F7">
    <w:pPr>
      <w:spacing w:after="240" w:line="240" w:lineRule="auto"/>
      <w:jc w:val="left"/>
      <w:rPr>
        <w:rFonts w:ascii="Trebuchet MS" w:hAnsi="Trebuchet MS" w:cs="Trebuchet MS"/>
        <w:b/>
        <w:bCs/>
        <w:color w:val="000000"/>
        <w:sz w:val="22"/>
        <w:szCs w:val="22"/>
        <w:lang w:val="it-IT"/>
      </w:rPr>
    </w:pPr>
    <w:r w:rsidRPr="00DE0860">
      <w:rPr>
        <w:rFonts w:ascii="Trebuchet MS" w:hAnsi="Trebuchet MS" w:cs="Trebuchet MS"/>
        <w:b/>
        <w:bCs/>
        <w:noProof/>
        <w:color w:val="000000"/>
        <w:sz w:val="22"/>
        <w:szCs w:val="22"/>
        <w:lang w:val="it-IT"/>
      </w:rPr>
      <w:t>Europäischer Marketing-Vertrieb</w:t>
    </w:r>
  </w:p>
  <w:p w14:paraId="6D22CB83" w14:textId="77777777" w:rsidR="00F349F7" w:rsidRPr="00DE0860" w:rsidRDefault="00F349F7">
    <w:pPr>
      <w:pStyle w:val="Header"/>
      <w:jc w:val="left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522323E"/>
    <w:lvl w:ilvl="0">
      <w:numFmt w:val="decimal"/>
      <w:lvlText w:val="*"/>
      <w:lvlJc w:val="left"/>
    </w:lvl>
  </w:abstractNum>
  <w:abstractNum w:abstractNumId="1" w15:restartNumberingAfterBreak="0">
    <w:nsid w:val="094542E4"/>
    <w:multiLevelType w:val="hybridMultilevel"/>
    <w:tmpl w:val="E7FAEDB8"/>
    <w:lvl w:ilvl="0" w:tplc="FFFFFFFF">
      <w:start w:val="1"/>
      <w:numFmt w:val="bullet"/>
      <w:pStyle w:val="Unterpunkt2"/>
      <w:lvlText w:val="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AE1C73"/>
    <w:multiLevelType w:val="hybridMultilevel"/>
    <w:tmpl w:val="1FDA415E"/>
    <w:lvl w:ilvl="0" w:tplc="FFFFFFFF">
      <w:start w:val="1"/>
      <w:numFmt w:val="bullet"/>
      <w:pStyle w:val="Unterpunkt3"/>
      <w:lvlText w:val=""/>
      <w:lvlJc w:val="left"/>
      <w:pPr>
        <w:tabs>
          <w:tab w:val="num" w:pos="1701"/>
        </w:tabs>
        <w:ind w:left="1701" w:hanging="567"/>
      </w:pPr>
      <w:rPr>
        <w:rFonts w:ascii="Wingdings" w:hAnsi="Wingdings" w:cs="Wingdings" w:hint="default"/>
        <w:b w:val="0"/>
        <w:bCs w:val="0"/>
        <w:i w:val="0"/>
        <w:iCs w:val="0"/>
        <w:sz w:val="12"/>
        <w:szCs w:val="1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61F2907"/>
    <w:multiLevelType w:val="hybridMultilevel"/>
    <w:tmpl w:val="4A3AF39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B163B0"/>
    <w:multiLevelType w:val="hybridMultilevel"/>
    <w:tmpl w:val="28BE44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1CA6"/>
    <w:multiLevelType w:val="hybridMultilevel"/>
    <w:tmpl w:val="A75261CE"/>
    <w:lvl w:ilvl="0" w:tplc="26340FF6">
      <w:start w:val="1"/>
      <w:numFmt w:val="bullet"/>
      <w:lvlText w:val="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0407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Wingdings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Wingdings" w:hint="default"/>
      </w:rPr>
    </w:lvl>
    <w:lvl w:ilvl="5" w:tplc="0407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Wingdings" w:hint="default"/>
      </w:rPr>
    </w:lvl>
    <w:lvl w:ilvl="8" w:tplc="0407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D24E22"/>
    <w:multiLevelType w:val="hybridMultilevel"/>
    <w:tmpl w:val="E622309E"/>
    <w:lvl w:ilvl="0" w:tplc="C02E38B6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92769"/>
    <w:multiLevelType w:val="hybridMultilevel"/>
    <w:tmpl w:val="5DD64F2A"/>
    <w:lvl w:ilvl="0" w:tplc="FFFFFFFF">
      <w:start w:val="1"/>
      <w:numFmt w:val="bullet"/>
      <w:pStyle w:val="Unterpunkt"/>
      <w:lvlText w:val="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Wingdings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cs="Wingdings" w:hint="default"/>
          <w:sz w:val="14"/>
          <w:szCs w:val="14"/>
        </w:rPr>
      </w:lvl>
    </w:lvlOverride>
  </w:num>
  <w:num w:numId="2">
    <w:abstractNumId w:val="0"/>
    <w:lvlOverride w:ilvl="0">
      <w:lvl w:ilvl="0">
        <w:start w:val="1"/>
        <w:numFmt w:val="bullet"/>
        <w:lvlText w:val=""/>
        <w:lvlJc w:val="left"/>
        <w:pPr>
          <w:ind w:left="567" w:hanging="567"/>
        </w:pPr>
        <w:rPr>
          <w:rFonts w:ascii="Wingdings" w:hAnsi="Wingdings" w:cs="Wingdings" w:hint="default"/>
          <w:sz w:val="14"/>
          <w:szCs w:val="14"/>
        </w:rPr>
      </w:lvl>
    </w:lvlOverride>
  </w:num>
  <w:num w:numId="3">
    <w:abstractNumId w:val="0"/>
    <w:lvlOverride w:ilvl="0">
      <w:lvl w:ilvl="0">
        <w:start w:val="1"/>
        <w:numFmt w:val="bullet"/>
        <w:lvlText w:val=""/>
        <w:lvlJc w:val="left"/>
        <w:pPr>
          <w:ind w:left="567" w:hanging="567"/>
        </w:pPr>
        <w:rPr>
          <w:rFonts w:ascii="Wingdings" w:hAnsi="Wingdings" w:cs="Wingdings" w:hint="default"/>
          <w:sz w:val="12"/>
          <w:szCs w:val="12"/>
        </w:rPr>
      </w:lvl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CC"/>
    <w:rsid w:val="00000B7D"/>
    <w:rsid w:val="00001AEC"/>
    <w:rsid w:val="0001211D"/>
    <w:rsid w:val="00015842"/>
    <w:rsid w:val="000350CD"/>
    <w:rsid w:val="00036907"/>
    <w:rsid w:val="0004058C"/>
    <w:rsid w:val="000451D9"/>
    <w:rsid w:val="000519F0"/>
    <w:rsid w:val="00052658"/>
    <w:rsid w:val="00056355"/>
    <w:rsid w:val="00056F68"/>
    <w:rsid w:val="0006003E"/>
    <w:rsid w:val="00064BF0"/>
    <w:rsid w:val="000909EC"/>
    <w:rsid w:val="00095A67"/>
    <w:rsid w:val="000A555B"/>
    <w:rsid w:val="000B2C42"/>
    <w:rsid w:val="000C0C36"/>
    <w:rsid w:val="000C6461"/>
    <w:rsid w:val="000E1458"/>
    <w:rsid w:val="000E46C8"/>
    <w:rsid w:val="000E5434"/>
    <w:rsid w:val="00100085"/>
    <w:rsid w:val="0011218F"/>
    <w:rsid w:val="0011728E"/>
    <w:rsid w:val="0012431C"/>
    <w:rsid w:val="00143E1E"/>
    <w:rsid w:val="00154F4F"/>
    <w:rsid w:val="001737FA"/>
    <w:rsid w:val="00174A26"/>
    <w:rsid w:val="001962D6"/>
    <w:rsid w:val="00196D69"/>
    <w:rsid w:val="001B14FD"/>
    <w:rsid w:val="001C0E3B"/>
    <w:rsid w:val="001C28C8"/>
    <w:rsid w:val="001C51EC"/>
    <w:rsid w:val="001C634D"/>
    <w:rsid w:val="001E5171"/>
    <w:rsid w:val="001E7F20"/>
    <w:rsid w:val="001F3635"/>
    <w:rsid w:val="00221EA0"/>
    <w:rsid w:val="00234686"/>
    <w:rsid w:val="002369F0"/>
    <w:rsid w:val="00237D90"/>
    <w:rsid w:val="00242FD8"/>
    <w:rsid w:val="00245C85"/>
    <w:rsid w:val="002518B7"/>
    <w:rsid w:val="00256122"/>
    <w:rsid w:val="00257DF1"/>
    <w:rsid w:val="0026303F"/>
    <w:rsid w:val="00276C7D"/>
    <w:rsid w:val="0027758E"/>
    <w:rsid w:val="00281752"/>
    <w:rsid w:val="00297C3F"/>
    <w:rsid w:val="002A0CD1"/>
    <w:rsid w:val="002A20F8"/>
    <w:rsid w:val="002A486E"/>
    <w:rsid w:val="002A4FB8"/>
    <w:rsid w:val="002B1EBB"/>
    <w:rsid w:val="002B2791"/>
    <w:rsid w:val="002B2C16"/>
    <w:rsid w:val="002B5277"/>
    <w:rsid w:val="002B5533"/>
    <w:rsid w:val="002B6B6E"/>
    <w:rsid w:val="002D39E2"/>
    <w:rsid w:val="002D55DD"/>
    <w:rsid w:val="002D5DB2"/>
    <w:rsid w:val="002D7F3D"/>
    <w:rsid w:val="002E203F"/>
    <w:rsid w:val="002F352D"/>
    <w:rsid w:val="002F5674"/>
    <w:rsid w:val="002F5C8C"/>
    <w:rsid w:val="002F5EE2"/>
    <w:rsid w:val="0030130C"/>
    <w:rsid w:val="003068C0"/>
    <w:rsid w:val="00311B2F"/>
    <w:rsid w:val="00317767"/>
    <w:rsid w:val="00317C9B"/>
    <w:rsid w:val="00321B97"/>
    <w:rsid w:val="00323BE0"/>
    <w:rsid w:val="00342274"/>
    <w:rsid w:val="0034466B"/>
    <w:rsid w:val="00346B68"/>
    <w:rsid w:val="00347469"/>
    <w:rsid w:val="00347713"/>
    <w:rsid w:val="003503B3"/>
    <w:rsid w:val="00352A41"/>
    <w:rsid w:val="00360D3B"/>
    <w:rsid w:val="00366C4F"/>
    <w:rsid w:val="003759B4"/>
    <w:rsid w:val="00382E4F"/>
    <w:rsid w:val="003902B8"/>
    <w:rsid w:val="003A04AF"/>
    <w:rsid w:val="003A248D"/>
    <w:rsid w:val="003C0E58"/>
    <w:rsid w:val="003C15C8"/>
    <w:rsid w:val="003C1C7F"/>
    <w:rsid w:val="003D1EC4"/>
    <w:rsid w:val="003D350D"/>
    <w:rsid w:val="003D3B8B"/>
    <w:rsid w:val="003F0A3E"/>
    <w:rsid w:val="003F0EA1"/>
    <w:rsid w:val="003F2941"/>
    <w:rsid w:val="004043D0"/>
    <w:rsid w:val="0042077E"/>
    <w:rsid w:val="00427F54"/>
    <w:rsid w:val="00432C9E"/>
    <w:rsid w:val="004361C3"/>
    <w:rsid w:val="0043744B"/>
    <w:rsid w:val="004423ED"/>
    <w:rsid w:val="00442C80"/>
    <w:rsid w:val="00447DB0"/>
    <w:rsid w:val="00450725"/>
    <w:rsid w:val="00460542"/>
    <w:rsid w:val="00495720"/>
    <w:rsid w:val="004A140C"/>
    <w:rsid w:val="004A4105"/>
    <w:rsid w:val="004A4D80"/>
    <w:rsid w:val="004B29DC"/>
    <w:rsid w:val="004B3FC0"/>
    <w:rsid w:val="004C2C45"/>
    <w:rsid w:val="004D40F1"/>
    <w:rsid w:val="004D57B2"/>
    <w:rsid w:val="004E79C0"/>
    <w:rsid w:val="004F0918"/>
    <w:rsid w:val="00506259"/>
    <w:rsid w:val="00506C3D"/>
    <w:rsid w:val="0051183A"/>
    <w:rsid w:val="00524DDE"/>
    <w:rsid w:val="00527905"/>
    <w:rsid w:val="00534DF8"/>
    <w:rsid w:val="00543C38"/>
    <w:rsid w:val="00551639"/>
    <w:rsid w:val="005540B3"/>
    <w:rsid w:val="00565558"/>
    <w:rsid w:val="00567AEF"/>
    <w:rsid w:val="005C2F4A"/>
    <w:rsid w:val="005C3692"/>
    <w:rsid w:val="005C516A"/>
    <w:rsid w:val="005D3F5D"/>
    <w:rsid w:val="005E27E5"/>
    <w:rsid w:val="005E2830"/>
    <w:rsid w:val="005E314D"/>
    <w:rsid w:val="005E486C"/>
    <w:rsid w:val="005E65EB"/>
    <w:rsid w:val="005F19D4"/>
    <w:rsid w:val="00600F2C"/>
    <w:rsid w:val="00605367"/>
    <w:rsid w:val="006113CB"/>
    <w:rsid w:val="00645CC4"/>
    <w:rsid w:val="00656AA4"/>
    <w:rsid w:val="006579B9"/>
    <w:rsid w:val="00663C76"/>
    <w:rsid w:val="006650F9"/>
    <w:rsid w:val="00666AD0"/>
    <w:rsid w:val="0067256E"/>
    <w:rsid w:val="00686208"/>
    <w:rsid w:val="00690674"/>
    <w:rsid w:val="00691581"/>
    <w:rsid w:val="006950FA"/>
    <w:rsid w:val="006A5C3E"/>
    <w:rsid w:val="006D6DDE"/>
    <w:rsid w:val="006E3C0B"/>
    <w:rsid w:val="006E6A17"/>
    <w:rsid w:val="006E7C43"/>
    <w:rsid w:val="0070587D"/>
    <w:rsid w:val="007265EB"/>
    <w:rsid w:val="007353B1"/>
    <w:rsid w:val="00736326"/>
    <w:rsid w:val="00740F1D"/>
    <w:rsid w:val="0074123A"/>
    <w:rsid w:val="0077326E"/>
    <w:rsid w:val="00785346"/>
    <w:rsid w:val="007877A2"/>
    <w:rsid w:val="007A4437"/>
    <w:rsid w:val="007B276A"/>
    <w:rsid w:val="007D3251"/>
    <w:rsid w:val="007D5B82"/>
    <w:rsid w:val="007D7EF8"/>
    <w:rsid w:val="007E0BA3"/>
    <w:rsid w:val="007E4E4A"/>
    <w:rsid w:val="007E53A7"/>
    <w:rsid w:val="007F3244"/>
    <w:rsid w:val="007F6335"/>
    <w:rsid w:val="00801738"/>
    <w:rsid w:val="00802856"/>
    <w:rsid w:val="00807A01"/>
    <w:rsid w:val="00824A81"/>
    <w:rsid w:val="008312B2"/>
    <w:rsid w:val="00841365"/>
    <w:rsid w:val="00855492"/>
    <w:rsid w:val="00861EA6"/>
    <w:rsid w:val="0088398A"/>
    <w:rsid w:val="00884885"/>
    <w:rsid w:val="008934F2"/>
    <w:rsid w:val="008B2739"/>
    <w:rsid w:val="008B4F0A"/>
    <w:rsid w:val="008F5307"/>
    <w:rsid w:val="008F68EE"/>
    <w:rsid w:val="0092155B"/>
    <w:rsid w:val="009256D3"/>
    <w:rsid w:val="00937F49"/>
    <w:rsid w:val="009474C6"/>
    <w:rsid w:val="009501B6"/>
    <w:rsid w:val="009518AD"/>
    <w:rsid w:val="00952735"/>
    <w:rsid w:val="0096076C"/>
    <w:rsid w:val="009640B9"/>
    <w:rsid w:val="00986EA7"/>
    <w:rsid w:val="00994AF7"/>
    <w:rsid w:val="00997388"/>
    <w:rsid w:val="009A1BF6"/>
    <w:rsid w:val="009F3266"/>
    <w:rsid w:val="00A077B0"/>
    <w:rsid w:val="00A13998"/>
    <w:rsid w:val="00A168B7"/>
    <w:rsid w:val="00A177CC"/>
    <w:rsid w:val="00A17C39"/>
    <w:rsid w:val="00A20BF4"/>
    <w:rsid w:val="00A30359"/>
    <w:rsid w:val="00A30BCB"/>
    <w:rsid w:val="00A36881"/>
    <w:rsid w:val="00A41FA0"/>
    <w:rsid w:val="00A51540"/>
    <w:rsid w:val="00A60D57"/>
    <w:rsid w:val="00A72608"/>
    <w:rsid w:val="00A74D1A"/>
    <w:rsid w:val="00A75003"/>
    <w:rsid w:val="00A75EB3"/>
    <w:rsid w:val="00A87768"/>
    <w:rsid w:val="00A9122F"/>
    <w:rsid w:val="00A94B43"/>
    <w:rsid w:val="00AA3E19"/>
    <w:rsid w:val="00AA5BAA"/>
    <w:rsid w:val="00AC01AA"/>
    <w:rsid w:val="00AC328E"/>
    <w:rsid w:val="00AC4938"/>
    <w:rsid w:val="00AC4C47"/>
    <w:rsid w:val="00AD1619"/>
    <w:rsid w:val="00AD7021"/>
    <w:rsid w:val="00AD7790"/>
    <w:rsid w:val="00AE5529"/>
    <w:rsid w:val="00B114A8"/>
    <w:rsid w:val="00B129D2"/>
    <w:rsid w:val="00B141E6"/>
    <w:rsid w:val="00B15538"/>
    <w:rsid w:val="00B20FE4"/>
    <w:rsid w:val="00B315C0"/>
    <w:rsid w:val="00B377F3"/>
    <w:rsid w:val="00B3786E"/>
    <w:rsid w:val="00B52C1A"/>
    <w:rsid w:val="00B53D60"/>
    <w:rsid w:val="00B6581D"/>
    <w:rsid w:val="00B7040F"/>
    <w:rsid w:val="00B95DD5"/>
    <w:rsid w:val="00BA0C25"/>
    <w:rsid w:val="00BB29BB"/>
    <w:rsid w:val="00BC0458"/>
    <w:rsid w:val="00BC7203"/>
    <w:rsid w:val="00BD0F97"/>
    <w:rsid w:val="00BD3302"/>
    <w:rsid w:val="00BE0761"/>
    <w:rsid w:val="00C1680A"/>
    <w:rsid w:val="00C31E5C"/>
    <w:rsid w:val="00C4728D"/>
    <w:rsid w:val="00C54F14"/>
    <w:rsid w:val="00C621CE"/>
    <w:rsid w:val="00C66BC9"/>
    <w:rsid w:val="00C67AB7"/>
    <w:rsid w:val="00C7279F"/>
    <w:rsid w:val="00C832E3"/>
    <w:rsid w:val="00C834C7"/>
    <w:rsid w:val="00C957E6"/>
    <w:rsid w:val="00CA4AFE"/>
    <w:rsid w:val="00CA5FE1"/>
    <w:rsid w:val="00CB1D82"/>
    <w:rsid w:val="00CB738A"/>
    <w:rsid w:val="00CC0D3A"/>
    <w:rsid w:val="00CC7B16"/>
    <w:rsid w:val="00CD2B46"/>
    <w:rsid w:val="00CE05C3"/>
    <w:rsid w:val="00CE152E"/>
    <w:rsid w:val="00CE1F83"/>
    <w:rsid w:val="00CE4BB9"/>
    <w:rsid w:val="00CF45AD"/>
    <w:rsid w:val="00CF7E9D"/>
    <w:rsid w:val="00D04608"/>
    <w:rsid w:val="00D0507C"/>
    <w:rsid w:val="00D23336"/>
    <w:rsid w:val="00D250A7"/>
    <w:rsid w:val="00D3249C"/>
    <w:rsid w:val="00D326B5"/>
    <w:rsid w:val="00D362D9"/>
    <w:rsid w:val="00D36E1F"/>
    <w:rsid w:val="00D37F7F"/>
    <w:rsid w:val="00D4468B"/>
    <w:rsid w:val="00D46A9A"/>
    <w:rsid w:val="00D55880"/>
    <w:rsid w:val="00D85652"/>
    <w:rsid w:val="00DB1D64"/>
    <w:rsid w:val="00DD08A0"/>
    <w:rsid w:val="00DD2540"/>
    <w:rsid w:val="00DE0860"/>
    <w:rsid w:val="00DE137E"/>
    <w:rsid w:val="00DE37B0"/>
    <w:rsid w:val="00DE5F2C"/>
    <w:rsid w:val="00DF65FD"/>
    <w:rsid w:val="00E11C0A"/>
    <w:rsid w:val="00E20888"/>
    <w:rsid w:val="00E36FE7"/>
    <w:rsid w:val="00E37C2B"/>
    <w:rsid w:val="00E418A0"/>
    <w:rsid w:val="00E50784"/>
    <w:rsid w:val="00E51F82"/>
    <w:rsid w:val="00E60253"/>
    <w:rsid w:val="00E605E8"/>
    <w:rsid w:val="00E6533C"/>
    <w:rsid w:val="00E675E5"/>
    <w:rsid w:val="00E823C2"/>
    <w:rsid w:val="00E8477B"/>
    <w:rsid w:val="00E93ADD"/>
    <w:rsid w:val="00EA2633"/>
    <w:rsid w:val="00EA5B1D"/>
    <w:rsid w:val="00EB32EE"/>
    <w:rsid w:val="00EB3CA5"/>
    <w:rsid w:val="00EB4B26"/>
    <w:rsid w:val="00EC314B"/>
    <w:rsid w:val="00EE2EC6"/>
    <w:rsid w:val="00EE696C"/>
    <w:rsid w:val="00EF5AF3"/>
    <w:rsid w:val="00F01D85"/>
    <w:rsid w:val="00F07B9F"/>
    <w:rsid w:val="00F108EE"/>
    <w:rsid w:val="00F1166B"/>
    <w:rsid w:val="00F15755"/>
    <w:rsid w:val="00F349F7"/>
    <w:rsid w:val="00F3565D"/>
    <w:rsid w:val="00F72C25"/>
    <w:rsid w:val="00F80132"/>
    <w:rsid w:val="00F87C96"/>
    <w:rsid w:val="00FA0081"/>
    <w:rsid w:val="00FA2E97"/>
    <w:rsid w:val="00FA3117"/>
    <w:rsid w:val="00FA7A38"/>
    <w:rsid w:val="00FC49AB"/>
    <w:rsid w:val="00FC513F"/>
    <w:rsid w:val="00FD5A59"/>
    <w:rsid w:val="00FE2576"/>
    <w:rsid w:val="00FE4237"/>
    <w:rsid w:val="00FE6D2A"/>
    <w:rsid w:val="00FF0244"/>
    <w:rsid w:val="00FF36EE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7C900EF2"/>
  <w15:chartTrackingRefBased/>
  <w15:docId w15:val="{0C5D8116-0BD4-4642-B438-F323B779B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320" w:lineRule="auto"/>
      <w:jc w:val="both"/>
    </w:pPr>
    <w:rPr>
      <w:rFonts w:ascii="Verdana" w:hAnsi="Verdana" w:cs="Verdana"/>
      <w:snapToGrid w:val="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customStyle="1" w:styleId="Char5">
    <w:name w:val="Char5"/>
    <w:semiHidden/>
    <w:rPr>
      <w:rFonts w:ascii="Verdana" w:hAnsi="Verdana" w:cs="Verdana"/>
      <w:sz w:val="18"/>
      <w:szCs w:val="18"/>
      <w:lang w:val="de-D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Char4">
    <w:name w:val="Char4"/>
    <w:semiHidden/>
    <w:rPr>
      <w:rFonts w:ascii="Verdana" w:hAnsi="Verdana" w:cs="Verdana"/>
      <w:sz w:val="18"/>
      <w:szCs w:val="18"/>
      <w:lang w:val="de-DE"/>
    </w:rPr>
  </w:style>
  <w:style w:type="character" w:styleId="Hyperlink">
    <w:name w:val="Hyperlink"/>
    <w:rPr>
      <w:color w:val="0000FF"/>
      <w:u w:val="single"/>
    </w:rPr>
  </w:style>
  <w:style w:type="paragraph" w:customStyle="1" w:styleId="berschrift">
    <w:name w:val="Überschrift"/>
    <w:basedOn w:val="Normal"/>
    <w:next w:val="Normal"/>
    <w:rPr>
      <w:b/>
      <w:bCs/>
      <w:caps/>
      <w:sz w:val="24"/>
      <w:szCs w:val="24"/>
    </w:rPr>
  </w:style>
  <w:style w:type="paragraph" w:customStyle="1" w:styleId="Unterpunkt">
    <w:name w:val="Unterpunkt"/>
    <w:basedOn w:val="Normal"/>
    <w:next w:val="Normal"/>
    <w:pPr>
      <w:numPr>
        <w:numId w:val="4"/>
      </w:numPr>
    </w:pPr>
  </w:style>
  <w:style w:type="paragraph" w:customStyle="1" w:styleId="Unterpunkt2">
    <w:name w:val="Unterpunkt2"/>
    <w:basedOn w:val="Normal"/>
    <w:next w:val="Normal"/>
    <w:pPr>
      <w:numPr>
        <w:numId w:val="5"/>
      </w:numPr>
    </w:pPr>
  </w:style>
  <w:style w:type="paragraph" w:customStyle="1" w:styleId="Unterpunkt3">
    <w:name w:val="Unterpunkt3"/>
    <w:basedOn w:val="Normal"/>
    <w:next w:val="Normal"/>
    <w:pPr>
      <w:numPr>
        <w:numId w:val="6"/>
      </w:numPr>
    </w:pPr>
  </w:style>
  <w:style w:type="paragraph" w:customStyle="1" w:styleId="Zwischentitel">
    <w:name w:val="Zwischentitel"/>
    <w:basedOn w:val="Normal"/>
    <w:next w:val="Normal"/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sz w:val="16"/>
      <w:szCs w:val="16"/>
    </w:rPr>
  </w:style>
  <w:style w:type="character" w:customStyle="1" w:styleId="CarCar">
    <w:name w:val="Car Car"/>
    <w:semiHidden/>
    <w:rPr>
      <w:sz w:val="2"/>
      <w:szCs w:val="2"/>
      <w:lang w:val="de-DE"/>
    </w:rPr>
  </w:style>
  <w:style w:type="paragraph" w:styleId="NormalWeb">
    <w:name w:val="Normal (Web)"/>
    <w:basedOn w:val="Normal"/>
    <w:pPr>
      <w:shd w:val="clear" w:color="auto" w:fill="FFFFFF"/>
      <w:spacing w:before="100" w:beforeAutospacing="1" w:after="100" w:afterAutospacing="1" w:line="240" w:lineRule="auto"/>
      <w:jc w:val="left"/>
    </w:pPr>
    <w:rPr>
      <w:color w:val="000000"/>
      <w:sz w:val="20"/>
      <w:szCs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har2">
    <w:name w:val="Char2"/>
    <w:semiHidden/>
    <w:rPr>
      <w:rFonts w:ascii="Verdana" w:hAnsi="Verdana" w:cs="Verdana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customStyle="1" w:styleId="Char1">
    <w:name w:val="Char1"/>
    <w:semiHidden/>
    <w:rPr>
      <w:rFonts w:ascii="Verdana" w:hAnsi="Verdana" w:cs="Verdana"/>
      <w:b/>
      <w:bCs/>
      <w:sz w:val="20"/>
      <w:szCs w:val="20"/>
      <w:lang w:val="de-DE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imes New Roman" w:hAnsi="Times New Roman" w:cs="Times New Roman"/>
      <w:sz w:val="20"/>
      <w:szCs w:val="20"/>
    </w:rPr>
  </w:style>
  <w:style w:type="character" w:customStyle="1" w:styleId="Char">
    <w:name w:val="Char"/>
    <w:semiHidden/>
    <w:rPr>
      <w:sz w:val="2"/>
      <w:szCs w:val="2"/>
      <w:lang w:val="de-DE"/>
    </w:rPr>
  </w:style>
  <w:style w:type="paragraph" w:styleId="ListParagraph">
    <w:name w:val="List Paragraph"/>
    <w:basedOn w:val="Normal"/>
    <w:qFormat/>
    <w:rsid w:val="002518B7"/>
    <w:pPr>
      <w:snapToGrid w:val="0"/>
      <w:spacing w:line="316" w:lineRule="auto"/>
      <w:ind w:left="720"/>
    </w:pPr>
    <w:rPr>
      <w:snapToGrid/>
      <w:lang w:eastAsia="es-ES"/>
    </w:rPr>
  </w:style>
  <w:style w:type="table" w:styleId="TableGrid">
    <w:name w:val="Table Grid"/>
    <w:basedOn w:val="TableNormal"/>
    <w:uiPriority w:val="59"/>
    <w:rsid w:val="00051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7B4CB2-958B-4E09-9803-2D0A9C56F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3365</Characters>
  <Application>Microsoft Office Word</Application>
  <DocSecurity>4</DocSecurity>
  <Lines>28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Herrn</vt:lpstr>
      <vt:lpstr>Herrn</vt:lpstr>
      <vt:lpstr>Herrn</vt:lpstr>
    </vt:vector>
  </TitlesOfParts>
  <Company>Dr. Dorothea Menedetter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</dc:title>
  <dc:subject/>
  <dc:creator>bn</dc:creator>
  <cp:keywords/>
  <cp:lastModifiedBy>Philippe Gruyters</cp:lastModifiedBy>
  <cp:revision>2</cp:revision>
  <cp:lastPrinted>2019-05-22T13:09:00Z</cp:lastPrinted>
  <dcterms:created xsi:type="dcterms:W3CDTF">2021-02-22T13:52:00Z</dcterms:created>
  <dcterms:modified xsi:type="dcterms:W3CDTF">2021-02-22T13:52:00Z</dcterms:modified>
</cp:coreProperties>
</file>